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128F" w14:textId="77777777" w:rsidR="002340E1" w:rsidRPr="00D96752" w:rsidRDefault="002340E1" w:rsidP="002340E1">
      <w:pPr>
        <w:spacing w:line="276" w:lineRule="auto"/>
        <w:jc w:val="center"/>
        <w:rPr>
          <w:rFonts w:ascii="Times New Roman" w:hAnsi="Times New Roman" w:cs="Times New Roman"/>
          <w:b/>
          <w:color w:val="000000" w:themeColor="text1"/>
          <w:lang w:val="ro-MD"/>
        </w:rPr>
      </w:pPr>
      <w:r w:rsidRPr="00D96752">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5852"/>
      </w:tblGrid>
      <w:tr w:rsidR="002340E1" w:rsidRPr="00D96752" w14:paraId="49BBEC5B"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BEAF" w14:textId="3C13DF22" w:rsidR="002340E1" w:rsidRPr="00D96752" w:rsidRDefault="002340E1" w:rsidP="00287C67">
            <w:pPr>
              <w:spacing w:after="0" w:line="276" w:lineRule="auto"/>
              <w:jc w:val="both"/>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 xml:space="preserve">1. </w:t>
            </w:r>
            <w:r w:rsidR="000A2F4D" w:rsidRPr="00D96752">
              <w:rPr>
                <w:rFonts w:ascii="Times New Roman" w:eastAsia="Times New Roman" w:hAnsi="Times New Roman" w:cs="Times New Roman"/>
                <w:b/>
                <w:color w:val="000000" w:themeColor="text1"/>
                <w:lang w:val="ro-MD"/>
              </w:rPr>
              <w:t xml:space="preserve">Titlul actului UE, inclusiv cea mai recentă modificare, </w:t>
            </w:r>
            <w:proofErr w:type="spellStart"/>
            <w:r w:rsidR="000A2F4D" w:rsidRPr="00D96752">
              <w:rPr>
                <w:rFonts w:ascii="Times New Roman" w:eastAsia="Times New Roman" w:hAnsi="Times New Roman" w:cs="Times New Roman"/>
                <w:b/>
                <w:color w:val="000000" w:themeColor="text1"/>
                <w:lang w:val="ro-MD"/>
              </w:rPr>
              <w:t>nr.CELEX</w:t>
            </w:r>
            <w:proofErr w:type="spellEnd"/>
            <w:r w:rsidR="00B42316" w:rsidRPr="00D96752">
              <w:rPr>
                <w:rFonts w:ascii="Times New Roman" w:eastAsia="Times New Roman" w:hAnsi="Times New Roman" w:cs="Times New Roman"/>
                <w:b/>
                <w:color w:val="000000" w:themeColor="text1"/>
                <w:lang w:val="ro-MD"/>
              </w:rPr>
              <w:t>: 32013R0575</w:t>
            </w:r>
          </w:p>
          <w:p w14:paraId="6AC60508" w14:textId="77777777" w:rsidR="002340E1" w:rsidRPr="00D96752" w:rsidRDefault="002340E1" w:rsidP="00287C67">
            <w:pPr>
              <w:spacing w:after="0" w:line="276" w:lineRule="auto"/>
              <w:jc w:val="both"/>
              <w:rPr>
                <w:rFonts w:ascii="Times New Roman" w:eastAsia="Times New Roman" w:hAnsi="Times New Roman" w:cs="Times New Roman"/>
                <w:color w:val="000000" w:themeColor="text1"/>
                <w:lang w:val="ro-MD"/>
              </w:rPr>
            </w:pPr>
          </w:p>
        </w:tc>
      </w:tr>
      <w:tr w:rsidR="00B8056D" w:rsidRPr="00D96752" w14:paraId="19351343"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740FD" w14:textId="2780EB9E" w:rsidR="00B8056D" w:rsidRPr="00D96752" w:rsidRDefault="00B8056D" w:rsidP="00B8056D">
            <w:pPr>
              <w:spacing w:line="276" w:lineRule="auto"/>
              <w:jc w:val="both"/>
              <w:rPr>
                <w:rFonts w:ascii="Times New Roman" w:hAnsi="Times New Roman" w:cs="Times New Roman"/>
                <w:color w:val="000000" w:themeColor="text1"/>
                <w:lang w:val="ro-RO"/>
              </w:rPr>
            </w:pPr>
            <w:r w:rsidRPr="00D96752">
              <w:rPr>
                <w:rFonts w:ascii="Times New Roman" w:hAnsi="Times New Roman" w:cs="Times New Roman"/>
                <w:b/>
                <w:color w:val="000000" w:themeColor="text1"/>
                <w:u w:val="single"/>
                <w:lang w:val="ro-MD"/>
              </w:rPr>
              <w:t>REGULAMENTUL NR. 575/2013 AL PARLAMENTULUI EUROPEAN ȘI AL CONSILIULUI din 26 iunie 2013 privind cerințele prudențiale pentru instituțiile de credit și firmele de investiții și de modificare a Regulamentului (UE) nr. 648/2012</w:t>
            </w:r>
            <w:r w:rsidRPr="00D96752">
              <w:rPr>
                <w:rFonts w:ascii="Times New Roman" w:hAnsi="Times New Roman" w:cs="Times New Roman"/>
                <w:b/>
                <w:color w:val="000000" w:themeColor="text1"/>
                <w:u w:val="single"/>
                <w:lang w:val="it-IT"/>
              </w:rPr>
              <w:t xml:space="preserve"> publicat în Jurnalul Oficial al Uniunii Europene nr. L 176 din 27 iunie 2013, </w:t>
            </w:r>
            <w:bookmarkStart w:id="0" w:name="_Hlk172636666"/>
            <w:r w:rsidRPr="00D96752">
              <w:rPr>
                <w:rFonts w:ascii="Times New Roman" w:hAnsi="Times New Roman" w:cs="Times New Roman"/>
                <w:b/>
                <w:color w:val="000000" w:themeColor="text1"/>
                <w:u w:val="single"/>
                <w:lang w:val="ro-MD"/>
              </w:rPr>
              <w:t>CELEX: 32013R0575</w:t>
            </w:r>
            <w:bookmarkEnd w:id="0"/>
            <w:r w:rsidR="00B80A00" w:rsidRPr="00D96752">
              <w:rPr>
                <w:rFonts w:ascii="Times New Roman" w:hAnsi="Times New Roman" w:cs="Times New Roman"/>
                <w:b/>
                <w:color w:val="000000" w:themeColor="text1"/>
                <w:u w:val="single"/>
                <w:lang w:val="ro-MD"/>
              </w:rPr>
              <w:t xml:space="preserve"> </w:t>
            </w:r>
            <w:r w:rsidRPr="00D96752">
              <w:rPr>
                <w:rFonts w:ascii="Times New Roman" w:hAnsi="Times New Roman" w:cs="Times New Roman"/>
                <w:b/>
                <w:color w:val="000000" w:themeColor="text1"/>
                <w:u w:val="single"/>
                <w:lang w:val="ro-MD"/>
              </w:rPr>
              <w:t>,</w:t>
            </w:r>
            <w:r w:rsidR="00B80A00" w:rsidRPr="00D96752">
              <w:rPr>
                <w:rFonts w:ascii="Times New Roman" w:hAnsi="Times New Roman" w:cs="Times New Roman"/>
                <w:b/>
                <w:color w:val="000000" w:themeColor="text1"/>
                <w:u w:val="single"/>
                <w:lang w:val="ro-MD"/>
              </w:rPr>
              <w:t xml:space="preserve"> </w:t>
            </w:r>
            <w:r w:rsidRPr="00D96752">
              <w:rPr>
                <w:rFonts w:ascii="Times New Roman" w:hAnsi="Times New Roman" w:cs="Times New Roman"/>
                <w:b/>
                <w:color w:val="000000" w:themeColor="text1"/>
                <w:u w:val="single"/>
                <w:lang w:val="it-IT"/>
              </w:rPr>
              <w:t xml:space="preserve">așa cum a fost modificat </w:t>
            </w:r>
            <w:r w:rsidRPr="00D96752">
              <w:rPr>
                <w:rFonts w:ascii="Times New Roman" w:hAnsi="Times New Roman" w:cs="Times New Roman"/>
                <w:b/>
                <w:color w:val="000000" w:themeColor="text1"/>
                <w:u w:val="single"/>
                <w:lang w:val="ro-MD"/>
              </w:rPr>
              <w:t xml:space="preserve">ultima dată </w:t>
            </w:r>
            <w:r w:rsidRPr="00D96752">
              <w:rPr>
                <w:rFonts w:ascii="Times New Roman" w:hAnsi="Times New Roman" w:cs="Times New Roman"/>
                <w:b/>
                <w:color w:val="000000" w:themeColor="text1"/>
                <w:u w:val="single"/>
                <w:lang w:val="it-IT"/>
              </w:rPr>
              <w:t xml:space="preserve">prin Regulamentul (UE) </w:t>
            </w:r>
            <w:r w:rsidR="00F62243" w:rsidRPr="00D96752">
              <w:rPr>
                <w:rFonts w:ascii="Times New Roman" w:hAnsi="Times New Roman" w:cs="Times New Roman"/>
                <w:b/>
                <w:color w:val="000000" w:themeColor="text1"/>
                <w:u w:val="single"/>
                <w:lang w:val="it-IT"/>
              </w:rPr>
              <w:t>2024/1623</w:t>
            </w:r>
            <w:r w:rsidRPr="00D96752">
              <w:rPr>
                <w:rFonts w:ascii="Times New Roman" w:hAnsi="Times New Roman" w:cs="Times New Roman"/>
                <w:b/>
                <w:color w:val="000000" w:themeColor="text1"/>
                <w:u w:val="single"/>
                <w:lang w:val="it-IT"/>
              </w:rPr>
              <w:t xml:space="preserve"> al Parlamentului European și al Consiliului din </w:t>
            </w:r>
            <w:r w:rsidR="00F62243" w:rsidRPr="00D96752">
              <w:rPr>
                <w:rFonts w:ascii="Times New Roman" w:hAnsi="Times New Roman" w:cs="Times New Roman"/>
                <w:b/>
                <w:color w:val="000000" w:themeColor="text1"/>
                <w:u w:val="single"/>
                <w:lang w:val="it-IT"/>
              </w:rPr>
              <w:t>31</w:t>
            </w:r>
            <w:r w:rsidRPr="00D96752">
              <w:rPr>
                <w:rFonts w:ascii="Times New Roman" w:hAnsi="Times New Roman" w:cs="Times New Roman"/>
                <w:b/>
                <w:color w:val="000000" w:themeColor="text1"/>
                <w:u w:val="single"/>
                <w:lang w:val="it-IT"/>
              </w:rPr>
              <w:t xml:space="preserve"> mai 20</w:t>
            </w:r>
            <w:r w:rsidR="009D1982" w:rsidRPr="00D96752">
              <w:rPr>
                <w:rFonts w:ascii="Times New Roman" w:hAnsi="Times New Roman" w:cs="Times New Roman"/>
                <w:b/>
                <w:color w:val="000000" w:themeColor="text1"/>
                <w:u w:val="single"/>
                <w:lang w:val="it-IT"/>
              </w:rPr>
              <w:t>24</w:t>
            </w:r>
          </w:p>
        </w:tc>
      </w:tr>
      <w:tr w:rsidR="002340E1" w:rsidRPr="00D96752" w14:paraId="7B68DDFD"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0B3A7" w14:textId="6E725441" w:rsidR="002340E1" w:rsidRPr="00D96752" w:rsidRDefault="002340E1" w:rsidP="00287C67">
            <w:pPr>
              <w:tabs>
                <w:tab w:val="left" w:pos="5088"/>
              </w:tabs>
              <w:spacing w:after="0" w:line="276" w:lineRule="auto"/>
              <w:jc w:val="both"/>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 xml:space="preserve">2. </w:t>
            </w:r>
            <w:r w:rsidR="000A2F4D" w:rsidRPr="00D96752">
              <w:rPr>
                <w:rFonts w:ascii="Times New Roman" w:eastAsia="Times New Roman" w:hAnsi="Times New Roman" w:cs="Times New Roman"/>
                <w:b/>
                <w:color w:val="000000" w:themeColor="text1"/>
                <w:lang w:val="ro-MD"/>
              </w:rPr>
              <w:t xml:space="preserve">Titlul proiectului de act normativ </w:t>
            </w:r>
            <w:proofErr w:type="spellStart"/>
            <w:r w:rsidR="000A2F4D" w:rsidRPr="00D96752">
              <w:rPr>
                <w:rFonts w:ascii="Times New Roman" w:eastAsia="Times New Roman" w:hAnsi="Times New Roman" w:cs="Times New Roman"/>
                <w:b/>
                <w:color w:val="000000" w:themeColor="text1"/>
                <w:lang w:val="ro-MD"/>
              </w:rPr>
              <w:t>naţional</w:t>
            </w:r>
            <w:proofErr w:type="spellEnd"/>
          </w:p>
        </w:tc>
      </w:tr>
      <w:tr w:rsidR="002340E1" w:rsidRPr="00D96752" w14:paraId="1BDA3B53"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46742" w14:textId="4D76A687" w:rsidR="002340E1" w:rsidRPr="00D96752" w:rsidRDefault="00B56D05" w:rsidP="00B56D05">
            <w:pPr>
              <w:tabs>
                <w:tab w:val="left" w:pos="5088"/>
              </w:tabs>
              <w:spacing w:after="0" w:line="276" w:lineRule="auto"/>
              <w:jc w:val="both"/>
              <w:rPr>
                <w:rFonts w:ascii="Times New Roman" w:hAnsi="Times New Roman" w:cs="Times New Roman"/>
                <w:color w:val="000000" w:themeColor="text1"/>
                <w:lang w:val="ro-MD"/>
              </w:rPr>
            </w:pPr>
            <w:r w:rsidRPr="00D96752">
              <w:rPr>
                <w:rFonts w:ascii="Times New Roman" w:hAnsi="Times New Roman" w:cs="Times New Roman"/>
                <w:color w:val="000000" w:themeColor="text1"/>
                <w:lang w:val="ro-MD"/>
              </w:rPr>
              <w:t>Pentru aprobarea Regulamentului privind cerința de fonduri proprii pentru riscul operațional, modificarea și abrogarea unor acte normative ale Băncii Naționale a Moldovei</w:t>
            </w:r>
          </w:p>
        </w:tc>
      </w:tr>
      <w:tr w:rsidR="002340E1" w:rsidRPr="00D96752" w14:paraId="3325D0B5"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2ABCE" w14:textId="77777777" w:rsidR="002340E1" w:rsidRPr="00D96752" w:rsidRDefault="002340E1" w:rsidP="00287C67">
            <w:pPr>
              <w:spacing w:after="0" w:line="276" w:lineRule="auto"/>
              <w:jc w:val="both"/>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3. Gradul general de compatibilitate</w:t>
            </w:r>
            <w:r w:rsidRPr="00D96752">
              <w:rPr>
                <w:rFonts w:ascii="Times New Roman" w:eastAsia="Times New Roman" w:hAnsi="Times New Roman" w:cs="Times New Roman"/>
                <w:color w:val="000000" w:themeColor="text1"/>
                <w:lang w:val="ro-MD"/>
              </w:rPr>
              <w:t>– Parțial compatibil</w:t>
            </w:r>
          </w:p>
        </w:tc>
      </w:tr>
      <w:tr w:rsidR="000A2F4D" w:rsidRPr="00D96752" w14:paraId="47EFDA94"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1ED77" w14:textId="0AA88888" w:rsidR="000A2F4D" w:rsidRPr="00D96752" w:rsidRDefault="000A2F4D" w:rsidP="00287C67">
            <w:pPr>
              <w:spacing w:after="0" w:line="276" w:lineRule="auto"/>
              <w:jc w:val="both"/>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4. Autoritatea/persoana responsabilă</w:t>
            </w:r>
          </w:p>
        </w:tc>
      </w:tr>
      <w:tr w:rsidR="000A2F4D" w:rsidRPr="00D96752" w14:paraId="1FA7A502"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87405" w14:textId="107E5615" w:rsidR="000A2F4D" w:rsidRPr="00D96752" w:rsidRDefault="000A2F4D" w:rsidP="00287C67">
            <w:pPr>
              <w:spacing w:after="0" w:line="276" w:lineRule="auto"/>
              <w:jc w:val="both"/>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5. Data întocmirii/actualizării</w:t>
            </w:r>
          </w:p>
        </w:tc>
      </w:tr>
    </w:tbl>
    <w:p w14:paraId="4CC4858C" w14:textId="77777777" w:rsidR="002340E1" w:rsidRPr="00D96752" w:rsidRDefault="002340E1" w:rsidP="002340E1">
      <w:pPr>
        <w:spacing w:line="276" w:lineRule="auto"/>
        <w:jc w:val="both"/>
        <w:rPr>
          <w:rFonts w:ascii="Times New Roman" w:hAnsi="Times New Roman" w:cs="Times New Roman"/>
          <w:color w:val="000000" w:themeColor="text1"/>
          <w:lang w:val="ro-MD"/>
        </w:rPr>
      </w:pPr>
    </w:p>
    <w:tbl>
      <w:tblPr>
        <w:tblW w:w="5455" w:type="pct"/>
        <w:tblInd w:w="-579" w:type="dxa"/>
        <w:tblLayout w:type="fixed"/>
        <w:tblLook w:val="01E0" w:firstRow="1" w:lastRow="1" w:firstColumn="1" w:lastColumn="1" w:noHBand="0" w:noVBand="0"/>
      </w:tblPr>
      <w:tblGrid>
        <w:gridCol w:w="5029"/>
        <w:gridCol w:w="5045"/>
        <w:gridCol w:w="1843"/>
        <w:gridCol w:w="3968"/>
      </w:tblGrid>
      <w:tr w:rsidR="000A2F4D" w:rsidRPr="00D96752" w14:paraId="00676FC1" w14:textId="77777777" w:rsidTr="00D96752">
        <w:trPr>
          <w:tblHeader/>
        </w:trPr>
        <w:tc>
          <w:tcPr>
            <w:tcW w:w="1583" w:type="pct"/>
            <w:tcBorders>
              <w:top w:val="single" w:sz="4" w:space="0" w:color="auto"/>
              <w:left w:val="single" w:sz="4" w:space="0" w:color="auto"/>
              <w:bottom w:val="single" w:sz="4" w:space="0" w:color="auto"/>
              <w:right w:val="single" w:sz="4" w:space="0" w:color="auto"/>
            </w:tcBorders>
            <w:vAlign w:val="center"/>
          </w:tcPr>
          <w:p w14:paraId="2A4424E0" w14:textId="77777777" w:rsidR="000A2F4D" w:rsidRPr="00D96752" w:rsidRDefault="000A2F4D" w:rsidP="00287C67">
            <w:pPr>
              <w:spacing w:line="276" w:lineRule="auto"/>
              <w:jc w:val="center"/>
              <w:rPr>
                <w:rFonts w:ascii="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Actul Uniunii Europene</w:t>
            </w:r>
          </w:p>
        </w:tc>
        <w:tc>
          <w:tcPr>
            <w:tcW w:w="1588" w:type="pct"/>
            <w:tcBorders>
              <w:top w:val="single" w:sz="4" w:space="0" w:color="auto"/>
              <w:left w:val="single" w:sz="4" w:space="0" w:color="auto"/>
              <w:bottom w:val="single" w:sz="4" w:space="0" w:color="auto"/>
              <w:right w:val="single" w:sz="4" w:space="0" w:color="auto"/>
            </w:tcBorders>
            <w:vAlign w:val="center"/>
          </w:tcPr>
          <w:p w14:paraId="70036BC6" w14:textId="77777777" w:rsidR="000A2F4D" w:rsidRPr="00D96752" w:rsidRDefault="000A2F4D" w:rsidP="000A2F4D">
            <w:pPr>
              <w:spacing w:line="276" w:lineRule="auto"/>
              <w:jc w:val="center"/>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 xml:space="preserve">Proiectul de act </w:t>
            </w:r>
          </w:p>
          <w:p w14:paraId="13477720" w14:textId="4E4A6F42" w:rsidR="000A2F4D" w:rsidRPr="00D96752" w:rsidRDefault="000A2F4D" w:rsidP="000A2F4D">
            <w:pPr>
              <w:spacing w:line="276" w:lineRule="auto"/>
              <w:jc w:val="center"/>
              <w:rPr>
                <w:rFonts w:ascii="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 xml:space="preserve">normativ </w:t>
            </w:r>
            <w:proofErr w:type="spellStart"/>
            <w:r w:rsidRPr="00D96752">
              <w:rPr>
                <w:rFonts w:ascii="Times New Roman" w:eastAsia="Times New Roman" w:hAnsi="Times New Roman" w:cs="Times New Roman"/>
                <w:b/>
                <w:color w:val="000000" w:themeColor="text1"/>
                <w:lang w:val="ro-MD"/>
              </w:rPr>
              <w:t>naţional</w:t>
            </w:r>
            <w:proofErr w:type="spellEnd"/>
          </w:p>
        </w:tc>
        <w:tc>
          <w:tcPr>
            <w:tcW w:w="580" w:type="pct"/>
            <w:tcBorders>
              <w:top w:val="single" w:sz="4" w:space="0" w:color="auto"/>
              <w:left w:val="single" w:sz="4" w:space="0" w:color="auto"/>
              <w:bottom w:val="single" w:sz="4" w:space="0" w:color="auto"/>
              <w:right w:val="single" w:sz="4" w:space="0" w:color="auto"/>
            </w:tcBorders>
            <w:vAlign w:val="center"/>
          </w:tcPr>
          <w:p w14:paraId="37B1C09F" w14:textId="77777777" w:rsidR="000A2F4D" w:rsidRPr="00D96752" w:rsidRDefault="000A2F4D" w:rsidP="00287C67">
            <w:pPr>
              <w:spacing w:line="276" w:lineRule="auto"/>
              <w:jc w:val="center"/>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Gradul de compatibilitate</w:t>
            </w:r>
          </w:p>
        </w:tc>
        <w:tc>
          <w:tcPr>
            <w:tcW w:w="1249" w:type="pct"/>
            <w:tcBorders>
              <w:top w:val="single" w:sz="4" w:space="0" w:color="auto"/>
              <w:left w:val="single" w:sz="4" w:space="0" w:color="auto"/>
              <w:bottom w:val="single" w:sz="4" w:space="0" w:color="auto"/>
              <w:right w:val="single" w:sz="4" w:space="0" w:color="auto"/>
            </w:tcBorders>
            <w:vAlign w:val="center"/>
          </w:tcPr>
          <w:p w14:paraId="39375DDE" w14:textId="59EF9C7B" w:rsidR="000A2F4D" w:rsidRPr="00D96752" w:rsidRDefault="000A2F4D" w:rsidP="00287C67">
            <w:pPr>
              <w:spacing w:line="276" w:lineRule="auto"/>
              <w:rPr>
                <w:rFonts w:ascii="Times New Roman" w:hAnsi="Times New Roman" w:cs="Times New Roman"/>
                <w:color w:val="000000" w:themeColor="text1"/>
                <w:lang w:val="ro-MD"/>
              </w:rPr>
            </w:pPr>
            <w:r w:rsidRPr="00D96752">
              <w:rPr>
                <w:rFonts w:ascii="Times New Roman" w:eastAsia="Times New Roman" w:hAnsi="Times New Roman" w:cs="Times New Roman"/>
                <w:b/>
                <w:color w:val="000000" w:themeColor="text1"/>
                <w:lang w:val="ro-MD"/>
              </w:rPr>
              <w:t xml:space="preserve"> Observații</w:t>
            </w:r>
          </w:p>
        </w:tc>
      </w:tr>
      <w:tr w:rsidR="000A2F4D" w:rsidRPr="00D96752" w14:paraId="6BF247CF" w14:textId="77777777" w:rsidTr="00D96752">
        <w:trPr>
          <w:trHeight w:val="253"/>
          <w:tblHeader/>
        </w:trPr>
        <w:tc>
          <w:tcPr>
            <w:tcW w:w="1583" w:type="pct"/>
            <w:tcBorders>
              <w:top w:val="single" w:sz="4" w:space="0" w:color="auto"/>
              <w:left w:val="single" w:sz="4" w:space="0" w:color="auto"/>
              <w:bottom w:val="single" w:sz="4" w:space="0" w:color="auto"/>
              <w:right w:val="single" w:sz="4" w:space="0" w:color="auto"/>
            </w:tcBorders>
            <w:vAlign w:val="center"/>
          </w:tcPr>
          <w:p w14:paraId="1B36E508" w14:textId="3FED7BA5" w:rsidR="000A2F4D" w:rsidRPr="00D96752" w:rsidRDefault="000A2F4D" w:rsidP="00287C67">
            <w:pPr>
              <w:spacing w:line="276" w:lineRule="auto"/>
              <w:jc w:val="center"/>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6</w:t>
            </w:r>
          </w:p>
        </w:tc>
        <w:tc>
          <w:tcPr>
            <w:tcW w:w="1588" w:type="pct"/>
            <w:tcBorders>
              <w:top w:val="single" w:sz="4" w:space="0" w:color="auto"/>
              <w:left w:val="single" w:sz="4" w:space="0" w:color="auto"/>
              <w:bottom w:val="single" w:sz="4" w:space="0" w:color="auto"/>
              <w:right w:val="single" w:sz="4" w:space="0" w:color="auto"/>
            </w:tcBorders>
            <w:vAlign w:val="center"/>
          </w:tcPr>
          <w:p w14:paraId="23FD13F0" w14:textId="1122E51E" w:rsidR="000A2F4D" w:rsidRPr="00D96752" w:rsidRDefault="000A2F4D" w:rsidP="00287C67">
            <w:pPr>
              <w:spacing w:line="276" w:lineRule="auto"/>
              <w:jc w:val="center"/>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7</w:t>
            </w:r>
          </w:p>
        </w:tc>
        <w:tc>
          <w:tcPr>
            <w:tcW w:w="580" w:type="pct"/>
            <w:tcBorders>
              <w:top w:val="single" w:sz="4" w:space="0" w:color="auto"/>
              <w:left w:val="single" w:sz="4" w:space="0" w:color="auto"/>
              <w:bottom w:val="single" w:sz="4" w:space="0" w:color="auto"/>
              <w:right w:val="single" w:sz="4" w:space="0" w:color="auto"/>
            </w:tcBorders>
            <w:vAlign w:val="center"/>
          </w:tcPr>
          <w:p w14:paraId="3EF2B09C" w14:textId="03C3101A" w:rsidR="000A2F4D" w:rsidRPr="00D96752" w:rsidRDefault="000A2F4D" w:rsidP="00287C67">
            <w:pPr>
              <w:spacing w:line="276" w:lineRule="auto"/>
              <w:jc w:val="center"/>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8</w:t>
            </w:r>
          </w:p>
        </w:tc>
        <w:tc>
          <w:tcPr>
            <w:tcW w:w="1249" w:type="pct"/>
            <w:tcBorders>
              <w:top w:val="single" w:sz="4" w:space="0" w:color="auto"/>
              <w:left w:val="single" w:sz="4" w:space="0" w:color="auto"/>
              <w:bottom w:val="single" w:sz="4" w:space="0" w:color="auto"/>
              <w:right w:val="single" w:sz="4" w:space="0" w:color="auto"/>
            </w:tcBorders>
            <w:vAlign w:val="center"/>
          </w:tcPr>
          <w:p w14:paraId="7F6E2304" w14:textId="4ECA4B61" w:rsidR="000A2F4D" w:rsidRPr="00D96752" w:rsidRDefault="000A2F4D" w:rsidP="00287C67">
            <w:pPr>
              <w:spacing w:line="276" w:lineRule="auto"/>
              <w:jc w:val="center"/>
              <w:rPr>
                <w:rFonts w:ascii="Times New Roman" w:eastAsia="Times New Roman" w:hAnsi="Times New Roman" w:cs="Times New Roman"/>
                <w:b/>
                <w:color w:val="000000" w:themeColor="text1"/>
                <w:lang w:val="ro-MD"/>
              </w:rPr>
            </w:pPr>
            <w:r w:rsidRPr="00D96752">
              <w:rPr>
                <w:rFonts w:ascii="Times New Roman" w:eastAsia="Times New Roman" w:hAnsi="Times New Roman" w:cs="Times New Roman"/>
                <w:b/>
                <w:color w:val="000000" w:themeColor="text1"/>
                <w:lang w:val="ro-MD"/>
              </w:rPr>
              <w:t>9</w:t>
            </w:r>
          </w:p>
        </w:tc>
      </w:tr>
      <w:tr w:rsidR="000A2F4D" w:rsidRPr="00D96752" w14:paraId="5617DEC2"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tcPr>
          <w:p w14:paraId="48B9D3A0" w14:textId="77777777" w:rsidR="000A2F4D" w:rsidRPr="00D96752" w:rsidRDefault="000A2F4D" w:rsidP="00287C67">
            <w:pPr>
              <w:spacing w:line="276" w:lineRule="auto"/>
              <w:rPr>
                <w:rFonts w:ascii="Times New Roman" w:hAnsi="Times New Roman" w:cs="Times New Roman"/>
                <w:b/>
                <w:color w:val="000000" w:themeColor="text1"/>
                <w:lang w:val="ro-MD"/>
              </w:rPr>
            </w:pPr>
            <w:r w:rsidRPr="00D96752">
              <w:rPr>
                <w:rFonts w:ascii="Times New Roman" w:hAnsi="Times New Roman" w:cs="Times New Roman"/>
                <w:b/>
                <w:color w:val="000000" w:themeColor="text1"/>
                <w:lang w:val="it-IT"/>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588" w:type="pct"/>
          </w:tcPr>
          <w:p w14:paraId="1BF86BAE" w14:textId="10921F9C" w:rsidR="000A2F4D" w:rsidRPr="00D96752" w:rsidRDefault="000A2F4D" w:rsidP="00287C67">
            <w:pPr>
              <w:spacing w:line="276" w:lineRule="auto"/>
              <w:rPr>
                <w:rFonts w:ascii="Times New Roman" w:hAnsi="Times New Roman" w:cs="Times New Roman"/>
                <w:b/>
                <w:color w:val="000000" w:themeColor="text1"/>
                <w:lang w:val="it-IT"/>
              </w:rPr>
            </w:pPr>
            <w:bookmarkStart w:id="1" w:name="_Hlk188368218"/>
            <w:r w:rsidRPr="00D96752">
              <w:rPr>
                <w:rFonts w:ascii="Times New Roman" w:hAnsi="Times New Roman" w:cs="Times New Roman"/>
                <w:b/>
                <w:color w:val="000000" w:themeColor="text1"/>
                <w:lang w:val="it-IT"/>
              </w:rPr>
              <w:t xml:space="preserve">Regulamentul privind </w:t>
            </w:r>
            <w:bookmarkStart w:id="2" w:name="_Hlk192851899"/>
            <w:r w:rsidR="00627361" w:rsidRPr="00D96752">
              <w:rPr>
                <w:rFonts w:ascii="Times New Roman" w:hAnsi="Times New Roman" w:cs="Times New Roman"/>
                <w:b/>
                <w:bCs/>
                <w:color w:val="000000" w:themeColor="text1"/>
                <w:lang w:val="it-IT"/>
              </w:rPr>
              <w:t>cerința de fonduri proprii pentru riscul operațional</w:t>
            </w:r>
            <w:bookmarkEnd w:id="1"/>
            <w:bookmarkEnd w:id="2"/>
            <w:r w:rsidRPr="00D96752">
              <w:rPr>
                <w:rFonts w:ascii="Times New Roman" w:hAnsi="Times New Roman" w:cs="Times New Roman"/>
                <w:b/>
                <w:color w:val="000000" w:themeColor="text1"/>
                <w:lang w:val="it-IT"/>
              </w:rPr>
              <w:t>, aprobat prin Hotărârea Comitetului executiv al Băncii Naționale a Moldovei  nr.XX/2025</w:t>
            </w:r>
          </w:p>
          <w:p w14:paraId="4E0BC803" w14:textId="2C1C12AC" w:rsidR="00B56D05" w:rsidRPr="00D96752" w:rsidRDefault="00B56D05" w:rsidP="00287C67">
            <w:pPr>
              <w:spacing w:line="276" w:lineRule="auto"/>
              <w:rPr>
                <w:rFonts w:ascii="Times New Roman" w:hAnsi="Times New Roman" w:cs="Times New Roman"/>
                <w:b/>
                <w:color w:val="000000" w:themeColor="text1"/>
                <w:lang w:val="it-IT"/>
              </w:rPr>
            </w:pPr>
            <w:r w:rsidRPr="00D96752">
              <w:rPr>
                <w:rFonts w:ascii="Times New Roman" w:hAnsi="Times New Roman" w:cs="Times New Roman"/>
                <w:b/>
                <w:color w:val="000000" w:themeColor="text1"/>
                <w:lang w:val="it-IT"/>
              </w:rPr>
              <w:t>Regulamentul privind cadrul de administrare a activităţii băncilor, aprobat prin Hotărârea Comitetului executiv al Băncii Naționale a Moldovei nr.322/2018</w:t>
            </w:r>
          </w:p>
          <w:p w14:paraId="2447C1C9" w14:textId="77777777" w:rsidR="000A2F4D" w:rsidRPr="00D96752" w:rsidRDefault="000A2F4D" w:rsidP="00287C67">
            <w:pPr>
              <w:spacing w:line="276" w:lineRule="auto"/>
              <w:ind w:left="448"/>
              <w:rPr>
                <w:rFonts w:ascii="Times New Roman" w:hAnsi="Times New Roman" w:cs="Times New Roman"/>
                <w:b/>
                <w:color w:val="000000" w:themeColor="text1"/>
                <w:lang w:val="it-IT"/>
              </w:rPr>
            </w:pPr>
          </w:p>
        </w:tc>
        <w:tc>
          <w:tcPr>
            <w:tcW w:w="580" w:type="pct"/>
          </w:tcPr>
          <w:p w14:paraId="6FE2121C" w14:textId="77777777" w:rsidR="000A2F4D" w:rsidRPr="00D96752" w:rsidRDefault="000A2F4D" w:rsidP="00287C67">
            <w:pPr>
              <w:spacing w:line="276" w:lineRule="auto"/>
              <w:rPr>
                <w:rFonts w:ascii="Times New Roman" w:hAnsi="Times New Roman" w:cs="Times New Roman"/>
                <w:color w:val="000000" w:themeColor="text1"/>
                <w:lang w:val="ro-MD"/>
              </w:rPr>
            </w:pPr>
          </w:p>
        </w:tc>
        <w:tc>
          <w:tcPr>
            <w:tcW w:w="1249" w:type="pct"/>
          </w:tcPr>
          <w:p w14:paraId="4EDDB10F" w14:textId="77777777" w:rsidR="000A2F4D" w:rsidRPr="00D96752" w:rsidRDefault="000A2F4D" w:rsidP="00287C67">
            <w:pPr>
              <w:spacing w:line="276" w:lineRule="auto"/>
              <w:rPr>
                <w:rFonts w:ascii="Times New Roman" w:hAnsi="Times New Roman" w:cs="Times New Roman"/>
                <w:color w:val="000000" w:themeColor="text1"/>
                <w:lang w:val="ro-MD"/>
              </w:rPr>
            </w:pPr>
          </w:p>
        </w:tc>
      </w:tr>
      <w:tr w:rsidR="000A2F4D" w:rsidRPr="00D96752" w14:paraId="087009BB"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CC99ADB" w14:textId="77777777" w:rsidR="000A2F4D" w:rsidRPr="00D96752" w:rsidRDefault="000A2F4D" w:rsidP="00287C67">
            <w:pPr>
              <w:spacing w:after="0" w:line="240" w:lineRule="auto"/>
              <w:rPr>
                <w:rFonts w:ascii="Times New Roman" w:hAnsi="Times New Roman" w:cs="Times New Roman"/>
                <w:b/>
                <w:color w:val="000000" w:themeColor="text1"/>
                <w:lang w:val="ro-RO"/>
              </w:rPr>
            </w:pPr>
            <w:r w:rsidRPr="00D96752">
              <w:rPr>
                <w:rFonts w:ascii="Times New Roman" w:hAnsi="Times New Roman" w:cs="Times New Roman"/>
                <w:b/>
                <w:color w:val="000000" w:themeColor="text1"/>
                <w:lang w:val="ro-RO"/>
              </w:rPr>
              <w:t>PARTEA ÎNTÂI</w:t>
            </w:r>
          </w:p>
          <w:p w14:paraId="0D46B05C" w14:textId="77777777" w:rsidR="000A2F4D" w:rsidRPr="00D96752" w:rsidRDefault="000A2F4D" w:rsidP="00287C67">
            <w:pPr>
              <w:spacing w:after="0" w:line="240" w:lineRule="auto"/>
              <w:rPr>
                <w:rFonts w:ascii="Times New Roman" w:hAnsi="Times New Roman" w:cs="Times New Roman"/>
                <w:b/>
                <w:color w:val="000000" w:themeColor="text1"/>
                <w:lang w:val="ro-RO"/>
              </w:rPr>
            </w:pPr>
            <w:r w:rsidRPr="00D96752">
              <w:rPr>
                <w:rFonts w:ascii="Times New Roman" w:hAnsi="Times New Roman" w:cs="Times New Roman"/>
                <w:b/>
                <w:color w:val="000000" w:themeColor="text1"/>
                <w:lang w:val="ro-RO"/>
              </w:rPr>
              <w:t>DISPOZIȚII GENERALE</w:t>
            </w:r>
          </w:p>
          <w:p w14:paraId="6BE86301" w14:textId="77777777" w:rsidR="000A2F4D" w:rsidRPr="00D96752" w:rsidRDefault="000A2F4D" w:rsidP="00287C67">
            <w:pPr>
              <w:spacing w:after="0" w:line="240" w:lineRule="auto"/>
              <w:rPr>
                <w:rFonts w:ascii="Times New Roman" w:hAnsi="Times New Roman" w:cs="Times New Roman"/>
                <w:b/>
                <w:color w:val="000000" w:themeColor="text1"/>
                <w:lang w:val="ro-RO"/>
              </w:rPr>
            </w:pPr>
            <w:r w:rsidRPr="00D96752">
              <w:rPr>
                <w:rFonts w:ascii="Times New Roman" w:hAnsi="Times New Roman" w:cs="Times New Roman"/>
                <w:b/>
                <w:color w:val="000000" w:themeColor="text1"/>
                <w:lang w:val="ro-RO"/>
              </w:rPr>
              <w:lastRenderedPageBreak/>
              <w:t xml:space="preserve">TITLUL I   </w:t>
            </w:r>
          </w:p>
          <w:p w14:paraId="4D2B164C" w14:textId="77777777" w:rsidR="000A2F4D" w:rsidRPr="00D96752" w:rsidRDefault="000A2F4D" w:rsidP="00287C67">
            <w:pPr>
              <w:spacing w:after="0" w:line="240" w:lineRule="auto"/>
              <w:rPr>
                <w:rFonts w:ascii="Times New Roman" w:hAnsi="Times New Roman" w:cs="Times New Roman"/>
                <w:b/>
                <w:color w:val="000000" w:themeColor="text1"/>
                <w:lang w:val="ro-RO"/>
              </w:rPr>
            </w:pPr>
            <w:r w:rsidRPr="00D96752">
              <w:rPr>
                <w:rFonts w:ascii="Times New Roman" w:hAnsi="Times New Roman" w:cs="Times New Roman"/>
                <w:b/>
                <w:color w:val="000000" w:themeColor="text1"/>
                <w:lang w:val="ro-RO"/>
              </w:rPr>
              <w:t>OBIECT, DOMENIU DE APLICARE ȘI DEFINIȚII</w:t>
            </w:r>
          </w:p>
          <w:p w14:paraId="0903420C" w14:textId="77777777" w:rsidR="000A2F4D" w:rsidRPr="00D96752" w:rsidRDefault="000A2F4D" w:rsidP="00287C67">
            <w:pPr>
              <w:spacing w:after="0" w:line="240" w:lineRule="auto"/>
              <w:rPr>
                <w:rFonts w:ascii="Times New Roman" w:hAnsi="Times New Roman" w:cs="Times New Roman"/>
                <w:b/>
                <w:color w:val="000000" w:themeColor="text1"/>
                <w:lang w:val="ro-RO"/>
              </w:rPr>
            </w:pPr>
          </w:p>
        </w:tc>
        <w:tc>
          <w:tcPr>
            <w:tcW w:w="1588" w:type="pct"/>
          </w:tcPr>
          <w:p w14:paraId="5D097111" w14:textId="459141AF" w:rsidR="000A2F4D" w:rsidRPr="00D96752" w:rsidRDefault="009D5FE4" w:rsidP="00287C67">
            <w:pPr>
              <w:spacing w:after="0" w:line="240" w:lineRule="auto"/>
              <w:rPr>
                <w:rFonts w:ascii="Times New Roman" w:hAnsi="Times New Roman" w:cs="Times New Roman"/>
                <w:b/>
                <w:color w:val="000000" w:themeColor="text1"/>
                <w:lang w:val="ro-RO"/>
              </w:rPr>
            </w:pPr>
            <w:bookmarkStart w:id="3" w:name="_Hlk188368200"/>
            <w:r w:rsidRPr="00D96752">
              <w:rPr>
                <w:rFonts w:ascii="Times New Roman" w:hAnsi="Times New Roman" w:cs="Times New Roman"/>
                <w:b/>
                <w:color w:val="000000" w:themeColor="text1"/>
                <w:lang w:val="ro-RO"/>
              </w:rPr>
              <w:lastRenderedPageBreak/>
              <w:t>Capitolul I</w:t>
            </w:r>
            <w:r w:rsidR="000A2F4D" w:rsidRPr="00D96752">
              <w:rPr>
                <w:rFonts w:ascii="Times New Roman" w:hAnsi="Times New Roman" w:cs="Times New Roman"/>
                <w:b/>
                <w:color w:val="000000" w:themeColor="text1"/>
                <w:lang w:val="ro-RO"/>
              </w:rPr>
              <w:t xml:space="preserve"> </w:t>
            </w:r>
          </w:p>
          <w:p w14:paraId="4E43878B" w14:textId="52466F43" w:rsidR="000A2F4D" w:rsidRPr="00D96752" w:rsidRDefault="003E392E" w:rsidP="00287C67">
            <w:pPr>
              <w:spacing w:after="0" w:line="240" w:lineRule="auto"/>
              <w:rPr>
                <w:rFonts w:ascii="Times New Roman" w:hAnsi="Times New Roman" w:cs="Times New Roman"/>
                <w:b/>
                <w:color w:val="000000" w:themeColor="text1"/>
                <w:lang w:val="ro-RO"/>
              </w:rPr>
            </w:pPr>
            <w:r w:rsidRPr="00D96752">
              <w:rPr>
                <w:rFonts w:ascii="Times New Roman" w:hAnsi="Times New Roman" w:cs="Times New Roman"/>
                <w:b/>
                <w:color w:val="000000" w:themeColor="text1"/>
                <w:lang w:val="ro-RO"/>
              </w:rPr>
              <w:t xml:space="preserve">PREVEDERI </w:t>
            </w:r>
            <w:r w:rsidR="000A2F4D" w:rsidRPr="00D96752">
              <w:rPr>
                <w:rFonts w:ascii="Times New Roman" w:hAnsi="Times New Roman" w:cs="Times New Roman"/>
                <w:b/>
                <w:color w:val="000000" w:themeColor="text1"/>
                <w:lang w:val="ro-RO"/>
              </w:rPr>
              <w:t>GENERALE</w:t>
            </w:r>
          </w:p>
          <w:bookmarkEnd w:id="3"/>
          <w:p w14:paraId="0FB3CEB1" w14:textId="77777777" w:rsidR="000A2F4D" w:rsidRPr="00D96752" w:rsidRDefault="000A2F4D" w:rsidP="00287C67">
            <w:pPr>
              <w:spacing w:after="0" w:line="240" w:lineRule="auto"/>
              <w:rPr>
                <w:rFonts w:ascii="Times New Roman" w:hAnsi="Times New Roman" w:cs="Times New Roman"/>
                <w:b/>
                <w:color w:val="000000" w:themeColor="text1"/>
                <w:lang w:val="ro-RO"/>
              </w:rPr>
            </w:pPr>
          </w:p>
        </w:tc>
        <w:tc>
          <w:tcPr>
            <w:tcW w:w="580" w:type="pct"/>
          </w:tcPr>
          <w:p w14:paraId="000D250F" w14:textId="77777777" w:rsidR="000A2F4D" w:rsidRPr="00D96752" w:rsidRDefault="000A2F4D" w:rsidP="00287C67">
            <w:pPr>
              <w:spacing w:line="276" w:lineRule="auto"/>
              <w:jc w:val="both"/>
              <w:rPr>
                <w:rFonts w:ascii="Times New Roman" w:hAnsi="Times New Roman" w:cs="Times New Roman"/>
                <w:color w:val="000000" w:themeColor="text1"/>
                <w:lang w:val="ro-MD"/>
              </w:rPr>
            </w:pPr>
          </w:p>
        </w:tc>
        <w:tc>
          <w:tcPr>
            <w:tcW w:w="1249" w:type="pct"/>
          </w:tcPr>
          <w:p w14:paraId="1353723D" w14:textId="77777777" w:rsidR="000A2F4D" w:rsidRPr="00D96752" w:rsidRDefault="000A2F4D" w:rsidP="00287C67">
            <w:pPr>
              <w:spacing w:line="276" w:lineRule="auto"/>
              <w:jc w:val="both"/>
              <w:rPr>
                <w:rFonts w:ascii="Times New Roman" w:hAnsi="Times New Roman" w:cs="Times New Roman"/>
                <w:color w:val="000000" w:themeColor="text1"/>
                <w:lang w:val="ro-MD"/>
              </w:rPr>
            </w:pPr>
          </w:p>
        </w:tc>
      </w:tr>
      <w:tr w:rsidR="000A2F4D" w:rsidRPr="00D96752" w14:paraId="0012061E"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D320E64" w14:textId="77777777" w:rsidR="000A2F4D" w:rsidRPr="00D96752" w:rsidRDefault="000A2F4D" w:rsidP="00287C67">
            <w:pPr>
              <w:spacing w:after="0" w:line="276" w:lineRule="auto"/>
              <w:jc w:val="both"/>
              <w:rPr>
                <w:rFonts w:ascii="Times New Roman" w:hAnsi="Times New Roman" w:cs="Times New Roman"/>
                <w:b/>
                <w:color w:val="000000" w:themeColor="text1"/>
                <w:lang w:val="ro-MD"/>
              </w:rPr>
            </w:pPr>
            <w:r w:rsidRPr="00D96752">
              <w:rPr>
                <w:rFonts w:ascii="Times New Roman" w:hAnsi="Times New Roman" w:cs="Times New Roman"/>
                <w:b/>
                <w:color w:val="000000" w:themeColor="text1"/>
                <w:lang w:val="ro-MD"/>
              </w:rPr>
              <w:t>Articolul 1</w:t>
            </w:r>
          </w:p>
          <w:p w14:paraId="145EE73C" w14:textId="77777777" w:rsidR="000A2F4D" w:rsidRPr="00D96752" w:rsidRDefault="000A2F4D" w:rsidP="00287C67">
            <w:pPr>
              <w:spacing w:after="0" w:line="276" w:lineRule="auto"/>
              <w:jc w:val="both"/>
              <w:rPr>
                <w:rFonts w:ascii="Times New Roman" w:hAnsi="Times New Roman" w:cs="Times New Roman"/>
                <w:b/>
                <w:color w:val="000000" w:themeColor="text1"/>
                <w:lang w:val="ro-MD"/>
              </w:rPr>
            </w:pPr>
            <w:r w:rsidRPr="00D96752">
              <w:rPr>
                <w:rFonts w:ascii="Times New Roman" w:hAnsi="Times New Roman" w:cs="Times New Roman"/>
                <w:b/>
                <w:color w:val="000000" w:themeColor="text1"/>
                <w:lang w:val="ro-MD"/>
              </w:rPr>
              <w:t>Domeniu  de  aplicare</w:t>
            </w:r>
          </w:p>
        </w:tc>
        <w:tc>
          <w:tcPr>
            <w:tcW w:w="1588" w:type="pct"/>
          </w:tcPr>
          <w:p w14:paraId="6330052C" w14:textId="77777777" w:rsidR="003E392E" w:rsidRPr="00D96752" w:rsidRDefault="003E392E" w:rsidP="003E392E">
            <w:pPr>
              <w:spacing w:after="0" w:line="276" w:lineRule="auto"/>
              <w:jc w:val="both"/>
              <w:rPr>
                <w:rFonts w:ascii="Times New Roman" w:hAnsi="Times New Roman" w:cs="Times New Roman"/>
                <w:b/>
                <w:color w:val="000000" w:themeColor="text1"/>
                <w:lang w:val="ro-MD"/>
              </w:rPr>
            </w:pPr>
            <w:proofErr w:type="spellStart"/>
            <w:r w:rsidRPr="00D96752">
              <w:rPr>
                <w:rFonts w:ascii="Times New Roman" w:hAnsi="Times New Roman" w:cs="Times New Roman"/>
                <w:b/>
                <w:color w:val="000000" w:themeColor="text1"/>
                <w:lang w:val="ro-MD"/>
              </w:rPr>
              <w:t>Secţiunea</w:t>
            </w:r>
            <w:proofErr w:type="spellEnd"/>
            <w:r w:rsidRPr="00D96752">
              <w:rPr>
                <w:rFonts w:ascii="Times New Roman" w:hAnsi="Times New Roman" w:cs="Times New Roman"/>
                <w:b/>
                <w:color w:val="000000" w:themeColor="text1"/>
                <w:lang w:val="ro-MD"/>
              </w:rPr>
              <w:t xml:space="preserve"> 1</w:t>
            </w:r>
          </w:p>
          <w:p w14:paraId="17D9A3D8" w14:textId="17133ECE" w:rsidR="000A2F4D" w:rsidRPr="00D96752" w:rsidRDefault="003E392E" w:rsidP="003E392E">
            <w:pPr>
              <w:spacing w:after="0" w:line="276" w:lineRule="auto"/>
              <w:jc w:val="both"/>
              <w:rPr>
                <w:rFonts w:ascii="Times New Roman" w:hAnsi="Times New Roman" w:cs="Times New Roman"/>
                <w:b/>
                <w:color w:val="000000" w:themeColor="text1"/>
                <w:lang w:val="ro-MD"/>
              </w:rPr>
            </w:pPr>
            <w:r w:rsidRPr="00D96752">
              <w:rPr>
                <w:rFonts w:ascii="Times New Roman" w:hAnsi="Times New Roman" w:cs="Times New Roman"/>
                <w:b/>
                <w:color w:val="000000" w:themeColor="text1"/>
                <w:lang w:val="ro-MD"/>
              </w:rPr>
              <w:t>Domeniu de aplicare</w:t>
            </w:r>
          </w:p>
        </w:tc>
        <w:tc>
          <w:tcPr>
            <w:tcW w:w="580" w:type="pct"/>
          </w:tcPr>
          <w:p w14:paraId="136F4E0B" w14:textId="77777777" w:rsidR="000A2F4D" w:rsidRPr="00D96752" w:rsidRDefault="000A2F4D" w:rsidP="00287C67">
            <w:pPr>
              <w:spacing w:line="276" w:lineRule="auto"/>
              <w:jc w:val="both"/>
              <w:rPr>
                <w:rFonts w:ascii="Times New Roman" w:hAnsi="Times New Roman" w:cs="Times New Roman"/>
                <w:color w:val="000000" w:themeColor="text1"/>
                <w:lang w:val="ro-MD"/>
              </w:rPr>
            </w:pPr>
          </w:p>
        </w:tc>
        <w:tc>
          <w:tcPr>
            <w:tcW w:w="1249" w:type="pct"/>
          </w:tcPr>
          <w:p w14:paraId="3011B4CB" w14:textId="77777777" w:rsidR="000A2F4D" w:rsidRPr="00D96752" w:rsidRDefault="000A2F4D" w:rsidP="00287C67">
            <w:pPr>
              <w:spacing w:line="276" w:lineRule="auto"/>
              <w:jc w:val="both"/>
              <w:rPr>
                <w:rFonts w:ascii="Times New Roman" w:hAnsi="Times New Roman" w:cs="Times New Roman"/>
                <w:color w:val="000000" w:themeColor="text1"/>
                <w:lang w:val="ro-MD"/>
              </w:rPr>
            </w:pPr>
          </w:p>
        </w:tc>
      </w:tr>
      <w:tr w:rsidR="000A2F4D" w:rsidRPr="00D96752" w14:paraId="72226D7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FF48F7C" w14:textId="7F7F9C51" w:rsidR="000A2F4D" w:rsidRPr="00D96752" w:rsidRDefault="000A2F4D" w:rsidP="004956A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Prezentul regulament stabilește reguli uniforme privind </w:t>
            </w:r>
            <w:proofErr w:type="spellStart"/>
            <w:r w:rsidRPr="00D96752">
              <w:rPr>
                <w:rFonts w:ascii="Times New Roman" w:hAnsi="Times New Roman" w:cs="Times New Roman"/>
                <w:bCs/>
                <w:color w:val="000000" w:themeColor="text1"/>
                <w:lang w:val="ro-MD"/>
              </w:rPr>
              <w:t>cerinţele</w:t>
            </w:r>
            <w:proofErr w:type="spell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prudenţiale</w:t>
            </w:r>
            <w:proofErr w:type="spellEnd"/>
            <w:r w:rsidRPr="00D96752">
              <w:rPr>
                <w:rFonts w:ascii="Times New Roman" w:hAnsi="Times New Roman" w:cs="Times New Roman"/>
                <w:bCs/>
                <w:color w:val="000000" w:themeColor="text1"/>
                <w:lang w:val="ro-MD"/>
              </w:rPr>
              <w:t xml:space="preserve"> generale pe care trebuie să le îndeplinească </w:t>
            </w:r>
            <w:proofErr w:type="spellStart"/>
            <w:r w:rsidRPr="00D96752">
              <w:rPr>
                <w:rFonts w:ascii="Times New Roman" w:hAnsi="Times New Roman" w:cs="Times New Roman"/>
                <w:bCs/>
                <w:color w:val="000000" w:themeColor="text1"/>
                <w:lang w:val="ro-MD"/>
              </w:rPr>
              <w:t>instituţiile</w:t>
            </w:r>
            <w:proofErr w:type="spell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societăţile</w:t>
            </w:r>
            <w:proofErr w:type="spellEnd"/>
            <w:r w:rsidRPr="00D96752">
              <w:rPr>
                <w:rFonts w:ascii="Times New Roman" w:hAnsi="Times New Roman" w:cs="Times New Roman"/>
                <w:bCs/>
                <w:color w:val="000000" w:themeColor="text1"/>
                <w:lang w:val="ro-MD"/>
              </w:rPr>
              <w:t xml:space="preserve"> financiare holding și </w:t>
            </w:r>
            <w:proofErr w:type="spellStart"/>
            <w:r w:rsidRPr="00D96752">
              <w:rPr>
                <w:rFonts w:ascii="Times New Roman" w:hAnsi="Times New Roman" w:cs="Times New Roman"/>
                <w:bCs/>
                <w:color w:val="000000" w:themeColor="text1"/>
                <w:lang w:val="ro-MD"/>
              </w:rPr>
              <w:t>societăţile</w:t>
            </w:r>
            <w:proofErr w:type="spellEnd"/>
            <w:r w:rsidRPr="00D96752">
              <w:rPr>
                <w:rFonts w:ascii="Times New Roman" w:hAnsi="Times New Roman" w:cs="Times New Roman"/>
                <w:bCs/>
                <w:color w:val="000000" w:themeColor="text1"/>
                <w:lang w:val="ro-MD"/>
              </w:rPr>
              <w:t xml:space="preserve"> financiare holding mixte supravegheate în temeiul Directivei 2013/36/UE, în ceea ce privește următoarele elemente:</w:t>
            </w:r>
          </w:p>
          <w:p w14:paraId="176F160A" w14:textId="3DE7531F" w:rsidR="000A2F4D" w:rsidRPr="00D96752" w:rsidRDefault="000A2F4D" w:rsidP="004956A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(a) </w:t>
            </w:r>
            <w:proofErr w:type="spellStart"/>
            <w:r w:rsidRPr="00D96752">
              <w:rPr>
                <w:rFonts w:ascii="Times New Roman" w:hAnsi="Times New Roman" w:cs="Times New Roman"/>
                <w:bCs/>
                <w:color w:val="000000" w:themeColor="text1"/>
                <w:lang w:val="ro-MD"/>
              </w:rPr>
              <w:t>cerinţe</w:t>
            </w:r>
            <w:proofErr w:type="spellEnd"/>
            <w:r w:rsidRPr="00D96752">
              <w:rPr>
                <w:rFonts w:ascii="Times New Roman" w:hAnsi="Times New Roman" w:cs="Times New Roman"/>
                <w:bCs/>
                <w:color w:val="000000" w:themeColor="text1"/>
                <w:lang w:val="ro-MD"/>
              </w:rPr>
              <w:t xml:space="preserve"> de fonduri proprii referitoare la elemente în întregime cuantificabile, uniforme și standardizate ale riscului de credit, ale riscului de </w:t>
            </w:r>
            <w:proofErr w:type="spellStart"/>
            <w:r w:rsidRPr="00D96752">
              <w:rPr>
                <w:rFonts w:ascii="Times New Roman" w:hAnsi="Times New Roman" w:cs="Times New Roman"/>
                <w:bCs/>
                <w:color w:val="000000" w:themeColor="text1"/>
                <w:lang w:val="ro-MD"/>
              </w:rPr>
              <w:t>piaţă</w:t>
            </w:r>
            <w:proofErr w:type="spellEnd"/>
            <w:r w:rsidRPr="00D96752">
              <w:rPr>
                <w:rFonts w:ascii="Times New Roman" w:hAnsi="Times New Roman" w:cs="Times New Roman"/>
                <w:bCs/>
                <w:color w:val="000000" w:themeColor="text1"/>
                <w:lang w:val="ro-MD"/>
              </w:rPr>
              <w:t xml:space="preserve">, ale riscului </w:t>
            </w:r>
            <w:proofErr w:type="spellStart"/>
            <w:r w:rsidRPr="00D96752">
              <w:rPr>
                <w:rFonts w:ascii="Times New Roman" w:hAnsi="Times New Roman" w:cs="Times New Roman"/>
                <w:bCs/>
                <w:color w:val="000000" w:themeColor="text1"/>
                <w:lang w:val="ro-MD"/>
              </w:rPr>
              <w:t>operaţional</w:t>
            </w:r>
            <w:proofErr w:type="spellEnd"/>
            <w:r w:rsidRPr="00D96752">
              <w:rPr>
                <w:rFonts w:ascii="Times New Roman" w:hAnsi="Times New Roman" w:cs="Times New Roman"/>
                <w:bCs/>
                <w:color w:val="000000" w:themeColor="text1"/>
                <w:lang w:val="ro-MD"/>
              </w:rPr>
              <w:t>, ale riscului de decontare și ale efectului de levier;</w:t>
            </w:r>
          </w:p>
        </w:tc>
        <w:tc>
          <w:tcPr>
            <w:tcW w:w="1588" w:type="pct"/>
          </w:tcPr>
          <w:p w14:paraId="77D8E4CA" w14:textId="77777777" w:rsidR="000A2F4D" w:rsidRPr="00D96752" w:rsidRDefault="00E27D2A" w:rsidP="00287C67">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1. Prezentul regulament </w:t>
            </w:r>
            <w:proofErr w:type="spellStart"/>
            <w:r w:rsidRPr="00D96752">
              <w:rPr>
                <w:rFonts w:ascii="Times New Roman" w:hAnsi="Times New Roman" w:cs="Times New Roman"/>
                <w:bCs/>
                <w:color w:val="000000" w:themeColor="text1"/>
                <w:lang w:val="ro-MD"/>
              </w:rPr>
              <w:t>stabileşte</w:t>
            </w:r>
            <w:proofErr w:type="spellEnd"/>
            <w:r w:rsidRPr="00D96752">
              <w:rPr>
                <w:rFonts w:ascii="Times New Roman" w:hAnsi="Times New Roman" w:cs="Times New Roman"/>
                <w:bCs/>
                <w:color w:val="000000" w:themeColor="text1"/>
                <w:lang w:val="ro-MD"/>
              </w:rPr>
              <w:t xml:space="preserve"> reguli privind </w:t>
            </w:r>
            <w:proofErr w:type="spellStart"/>
            <w:r w:rsidRPr="00D96752">
              <w:rPr>
                <w:rFonts w:ascii="Times New Roman" w:hAnsi="Times New Roman" w:cs="Times New Roman"/>
                <w:bCs/>
                <w:color w:val="000000" w:themeColor="text1"/>
                <w:lang w:val="ro-MD"/>
              </w:rPr>
              <w:t>cerinţele</w:t>
            </w:r>
            <w:proofErr w:type="spellEnd"/>
            <w:r w:rsidRPr="00D96752">
              <w:rPr>
                <w:rFonts w:ascii="Times New Roman" w:hAnsi="Times New Roman" w:cs="Times New Roman"/>
                <w:bCs/>
                <w:color w:val="000000" w:themeColor="text1"/>
                <w:lang w:val="ro-MD"/>
              </w:rPr>
              <w:t xml:space="preserve"> de fonduri proprii pentru riscul </w:t>
            </w:r>
            <w:proofErr w:type="spellStart"/>
            <w:r w:rsidRPr="00D96752">
              <w:rPr>
                <w:rFonts w:ascii="Times New Roman" w:hAnsi="Times New Roman" w:cs="Times New Roman"/>
                <w:bCs/>
                <w:color w:val="000000" w:themeColor="text1"/>
                <w:lang w:val="ro-MD"/>
              </w:rPr>
              <w:t>operaţional</w:t>
            </w:r>
            <w:proofErr w:type="spellEnd"/>
            <w:r w:rsidRPr="00D96752">
              <w:rPr>
                <w:rFonts w:ascii="Times New Roman" w:hAnsi="Times New Roman" w:cs="Times New Roman"/>
                <w:bCs/>
                <w:color w:val="000000" w:themeColor="text1"/>
                <w:lang w:val="ro-MD"/>
              </w:rPr>
              <w:t xml:space="preserve"> potrivit abordării standardizate, în scopul calculării </w:t>
            </w:r>
            <w:proofErr w:type="spellStart"/>
            <w:r w:rsidRPr="00D96752">
              <w:rPr>
                <w:rFonts w:ascii="Times New Roman" w:hAnsi="Times New Roman" w:cs="Times New Roman"/>
                <w:bCs/>
                <w:color w:val="000000" w:themeColor="text1"/>
                <w:lang w:val="ro-MD"/>
              </w:rPr>
              <w:t>cerinţelor</w:t>
            </w:r>
            <w:proofErr w:type="spellEnd"/>
            <w:r w:rsidRPr="00D96752">
              <w:rPr>
                <w:rFonts w:ascii="Times New Roman" w:hAnsi="Times New Roman" w:cs="Times New Roman"/>
                <w:bCs/>
                <w:color w:val="000000" w:themeColor="text1"/>
                <w:lang w:val="ro-MD"/>
              </w:rPr>
              <w:t xml:space="preserve"> de fonduri proprii conform actelor normative ale Băncii </w:t>
            </w:r>
            <w:proofErr w:type="spellStart"/>
            <w:r w:rsidRPr="00D96752">
              <w:rPr>
                <w:rFonts w:ascii="Times New Roman" w:hAnsi="Times New Roman" w:cs="Times New Roman"/>
                <w:bCs/>
                <w:color w:val="000000" w:themeColor="text1"/>
                <w:lang w:val="ro-MD"/>
              </w:rPr>
              <w:t>Naţionale</w:t>
            </w:r>
            <w:proofErr w:type="spellEnd"/>
            <w:r w:rsidRPr="00D96752">
              <w:rPr>
                <w:rFonts w:ascii="Times New Roman" w:hAnsi="Times New Roman" w:cs="Times New Roman"/>
                <w:bCs/>
                <w:color w:val="000000" w:themeColor="text1"/>
                <w:lang w:val="ro-MD"/>
              </w:rPr>
              <w:t xml:space="preserve"> a Moldovei cu privire la fondurile proprii </w:t>
            </w:r>
            <w:proofErr w:type="spellStart"/>
            <w:r w:rsidRPr="00D96752">
              <w:rPr>
                <w:rFonts w:ascii="Times New Roman" w:hAnsi="Times New Roman" w:cs="Times New Roman"/>
                <w:bCs/>
                <w:color w:val="000000" w:themeColor="text1"/>
                <w:lang w:val="ro-MD"/>
              </w:rPr>
              <w:t>şi</w:t>
            </w:r>
            <w:proofErr w:type="spell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cerinţele</w:t>
            </w:r>
            <w:proofErr w:type="spellEnd"/>
            <w:r w:rsidRPr="00D96752">
              <w:rPr>
                <w:rFonts w:ascii="Times New Roman" w:hAnsi="Times New Roman" w:cs="Times New Roman"/>
                <w:bCs/>
                <w:color w:val="000000" w:themeColor="text1"/>
                <w:lang w:val="ro-MD"/>
              </w:rPr>
              <w:t xml:space="preserve"> de capital</w:t>
            </w:r>
          </w:p>
          <w:p w14:paraId="1BAD2EDD" w14:textId="44D5720D" w:rsidR="003E392E" w:rsidRPr="00D96752" w:rsidRDefault="003E392E" w:rsidP="003E392E">
            <w:pPr>
              <w:spacing w:after="0" w:line="276" w:lineRule="auto"/>
              <w:jc w:val="both"/>
              <w:rPr>
                <w:rFonts w:ascii="Times New Roman" w:hAnsi="Times New Roman" w:cs="Times New Roman"/>
                <w:bCs/>
                <w:color w:val="000000" w:themeColor="text1"/>
                <w:lang w:val="ro-MD"/>
              </w:rPr>
            </w:pPr>
          </w:p>
        </w:tc>
        <w:tc>
          <w:tcPr>
            <w:tcW w:w="580" w:type="pct"/>
          </w:tcPr>
          <w:p w14:paraId="5DEB94B9" w14:textId="671C229A" w:rsidR="000A2F4D" w:rsidRPr="00D96752" w:rsidRDefault="00C411D1" w:rsidP="00287C67">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31B55F24" w14:textId="77777777" w:rsidR="000A2F4D" w:rsidRPr="00D96752" w:rsidRDefault="000A2F4D" w:rsidP="00287C67">
            <w:pPr>
              <w:spacing w:line="276" w:lineRule="auto"/>
              <w:jc w:val="both"/>
              <w:rPr>
                <w:rFonts w:ascii="Times New Roman" w:hAnsi="Times New Roman" w:cs="Times New Roman"/>
                <w:bCs/>
                <w:color w:val="000000" w:themeColor="text1"/>
                <w:lang w:val="ro-MD"/>
              </w:rPr>
            </w:pPr>
          </w:p>
        </w:tc>
      </w:tr>
      <w:tr w:rsidR="000A2F4D" w:rsidRPr="00D96752" w14:paraId="4BD43A93"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3D5981B" w14:textId="77777777" w:rsidR="000A2F4D" w:rsidRPr="00D96752" w:rsidRDefault="000A2F4D" w:rsidP="00287C67">
            <w:pPr>
              <w:spacing w:after="0" w:line="276" w:lineRule="auto"/>
              <w:jc w:val="both"/>
              <w:rPr>
                <w:rFonts w:ascii="Times New Roman" w:hAnsi="Times New Roman" w:cs="Times New Roman"/>
                <w:b/>
                <w:color w:val="000000" w:themeColor="text1"/>
                <w:lang w:val="ro-MD"/>
              </w:rPr>
            </w:pPr>
            <w:r w:rsidRPr="00D96752">
              <w:rPr>
                <w:rFonts w:ascii="Times New Roman" w:hAnsi="Times New Roman" w:cs="Times New Roman"/>
                <w:b/>
                <w:color w:val="000000" w:themeColor="text1"/>
                <w:lang w:val="ro-MD"/>
              </w:rPr>
              <w:t>Articolul 4</w:t>
            </w:r>
          </w:p>
          <w:p w14:paraId="6F84548F" w14:textId="343904FF" w:rsidR="000A2F4D" w:rsidRPr="00D96752" w:rsidRDefault="000A2F4D" w:rsidP="00287C67">
            <w:pPr>
              <w:spacing w:after="0" w:line="276" w:lineRule="auto"/>
              <w:jc w:val="both"/>
              <w:rPr>
                <w:rFonts w:ascii="Times New Roman" w:hAnsi="Times New Roman" w:cs="Times New Roman"/>
                <w:b/>
                <w:color w:val="000000" w:themeColor="text1"/>
                <w:lang w:val="ro-MD"/>
              </w:rPr>
            </w:pPr>
            <w:proofErr w:type="spellStart"/>
            <w:r w:rsidRPr="00D96752">
              <w:rPr>
                <w:rFonts w:ascii="Times New Roman" w:hAnsi="Times New Roman" w:cs="Times New Roman"/>
                <w:b/>
                <w:color w:val="000000" w:themeColor="text1"/>
                <w:lang w:val="ro-MD"/>
              </w:rPr>
              <w:t>Definiţii</w:t>
            </w:r>
            <w:proofErr w:type="spellEnd"/>
          </w:p>
        </w:tc>
        <w:tc>
          <w:tcPr>
            <w:tcW w:w="1588" w:type="pct"/>
          </w:tcPr>
          <w:p w14:paraId="7D27C260" w14:textId="46342693" w:rsidR="003E392E" w:rsidRPr="00D96752" w:rsidRDefault="003E392E" w:rsidP="003E392E">
            <w:pPr>
              <w:spacing w:after="0" w:line="276" w:lineRule="auto"/>
              <w:jc w:val="both"/>
              <w:rPr>
                <w:rFonts w:ascii="Times New Roman" w:hAnsi="Times New Roman" w:cs="Times New Roman"/>
                <w:b/>
                <w:color w:val="000000" w:themeColor="text1"/>
                <w:lang w:val="ro-MD"/>
              </w:rPr>
            </w:pPr>
            <w:proofErr w:type="spellStart"/>
            <w:r w:rsidRPr="00D96752">
              <w:rPr>
                <w:rFonts w:ascii="Times New Roman" w:hAnsi="Times New Roman" w:cs="Times New Roman"/>
                <w:b/>
                <w:color w:val="000000" w:themeColor="text1"/>
                <w:lang w:val="ro-MD"/>
              </w:rPr>
              <w:t>Secţiunea</w:t>
            </w:r>
            <w:proofErr w:type="spellEnd"/>
            <w:r w:rsidRPr="00D96752">
              <w:rPr>
                <w:rFonts w:ascii="Times New Roman" w:hAnsi="Times New Roman" w:cs="Times New Roman"/>
                <w:b/>
                <w:color w:val="000000" w:themeColor="text1"/>
                <w:lang w:val="ro-MD"/>
              </w:rPr>
              <w:t xml:space="preserve"> 2</w:t>
            </w:r>
          </w:p>
          <w:p w14:paraId="42ACF11A" w14:textId="42D45412" w:rsidR="003E392E" w:rsidRPr="00D96752" w:rsidRDefault="003E392E" w:rsidP="003E392E">
            <w:pPr>
              <w:spacing w:after="0" w:line="276" w:lineRule="auto"/>
              <w:jc w:val="both"/>
              <w:rPr>
                <w:rFonts w:ascii="Times New Roman" w:hAnsi="Times New Roman" w:cs="Times New Roman"/>
                <w:b/>
                <w:color w:val="000000" w:themeColor="text1"/>
                <w:lang w:val="ro-MD"/>
              </w:rPr>
            </w:pPr>
            <w:proofErr w:type="spellStart"/>
            <w:r w:rsidRPr="00D96752">
              <w:rPr>
                <w:rFonts w:ascii="Times New Roman" w:hAnsi="Times New Roman" w:cs="Times New Roman"/>
                <w:b/>
                <w:color w:val="000000" w:themeColor="text1"/>
                <w:lang w:val="ro-MD"/>
              </w:rPr>
              <w:t>Definiţii</w:t>
            </w:r>
            <w:proofErr w:type="spellEnd"/>
          </w:p>
        </w:tc>
        <w:tc>
          <w:tcPr>
            <w:tcW w:w="580" w:type="pct"/>
          </w:tcPr>
          <w:p w14:paraId="7FAA55B9" w14:textId="77777777" w:rsidR="000A2F4D" w:rsidRPr="00D96752" w:rsidRDefault="000A2F4D" w:rsidP="004956A6">
            <w:pPr>
              <w:spacing w:after="0" w:line="276" w:lineRule="auto"/>
              <w:jc w:val="both"/>
              <w:rPr>
                <w:rFonts w:ascii="Times New Roman" w:hAnsi="Times New Roman" w:cs="Times New Roman"/>
                <w:b/>
                <w:color w:val="000000" w:themeColor="text1"/>
                <w:lang w:val="ro-MD"/>
              </w:rPr>
            </w:pPr>
          </w:p>
        </w:tc>
        <w:tc>
          <w:tcPr>
            <w:tcW w:w="1249" w:type="pct"/>
          </w:tcPr>
          <w:p w14:paraId="44A78DE5" w14:textId="77777777" w:rsidR="000A2F4D" w:rsidRPr="00D96752" w:rsidRDefault="000A2F4D" w:rsidP="004956A6">
            <w:pPr>
              <w:spacing w:after="0" w:line="276" w:lineRule="auto"/>
              <w:jc w:val="both"/>
              <w:rPr>
                <w:rFonts w:ascii="Times New Roman" w:hAnsi="Times New Roman" w:cs="Times New Roman"/>
                <w:b/>
                <w:color w:val="000000" w:themeColor="text1"/>
                <w:lang w:val="ro-MD"/>
              </w:rPr>
            </w:pPr>
          </w:p>
        </w:tc>
      </w:tr>
      <w:tr w:rsidR="003A6646" w:rsidRPr="00D96752" w14:paraId="0C08B965"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8C11450" w14:textId="2B8AC89E" w:rsidR="003A6646" w:rsidRPr="00D96752" w:rsidRDefault="003A6646" w:rsidP="0014013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52.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risc</w:t>
            </w:r>
            <w:proofErr w:type="gram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riscul de pierdere care rezult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fie din utilizarea unor procese, persoane sau sisteme interne inadecvate sau care nu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i-au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ndeplinit </w:t>
            </w:r>
            <w:proofErr w:type="spellStart"/>
            <w:r w:rsidRPr="00D96752">
              <w:rPr>
                <w:rFonts w:ascii="Times New Roman" w:hAnsi="Times New Roman" w:cs="Times New Roman"/>
                <w:bCs/>
                <w:color w:val="000000" w:themeColor="text1"/>
                <w:lang w:val="ro-MD"/>
              </w:rPr>
              <w:t>func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ia</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mod corespunz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tor, fie din</w:t>
            </w:r>
            <w:r w:rsidR="0014013A"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evenimente externe, incluz</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 riscul juridic, riscul de model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riscul aferent tehnologiei </w:t>
            </w:r>
            <w:proofErr w:type="spellStart"/>
            <w:r w:rsidRPr="00D96752">
              <w:rPr>
                <w:rFonts w:ascii="Times New Roman" w:hAnsi="Times New Roman" w:cs="Times New Roman"/>
                <w:bCs/>
                <w:color w:val="000000" w:themeColor="text1"/>
                <w:lang w:val="ro-MD"/>
              </w:rPr>
              <w:t>informa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iilor</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w:t>
            </w:r>
            <w:proofErr w:type="spellStart"/>
            <w:r w:rsidRPr="00D96752">
              <w:rPr>
                <w:rFonts w:ascii="Times New Roman" w:hAnsi="Times New Roman" w:cs="Times New Roman"/>
                <w:bCs/>
                <w:color w:val="000000" w:themeColor="text1"/>
                <w:lang w:val="ro-MD"/>
              </w:rPr>
              <w:t>comunica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iilor</w:t>
            </w:r>
            <w:proofErr w:type="spellEnd"/>
            <w:r w:rsidRPr="00D96752">
              <w:rPr>
                <w:rFonts w:ascii="Times New Roman" w:hAnsi="Times New Roman" w:cs="Times New Roman"/>
                <w:bCs/>
                <w:color w:val="000000" w:themeColor="text1"/>
                <w:lang w:val="ro-MD"/>
              </w:rPr>
              <w:t>, f</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r</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a se limita la acestea, dar excluz</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 riscul strategic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riscul </w:t>
            </w:r>
            <w:proofErr w:type="spellStart"/>
            <w:r w:rsidRPr="00D96752">
              <w:rPr>
                <w:rFonts w:ascii="Times New Roman" w:hAnsi="Times New Roman" w:cs="Times New Roman"/>
                <w:bCs/>
                <w:color w:val="000000" w:themeColor="text1"/>
                <w:lang w:val="ro-MD"/>
              </w:rPr>
              <w:t>reputa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w:t>
            </w:r>
          </w:p>
        </w:tc>
        <w:tc>
          <w:tcPr>
            <w:tcW w:w="1588" w:type="pct"/>
            <w:shd w:val="clear" w:color="auto" w:fill="auto"/>
          </w:tcPr>
          <w:p w14:paraId="79628D31" w14:textId="2F9A1C8F" w:rsidR="00B56D05" w:rsidRPr="00D96752" w:rsidRDefault="005A0034" w:rsidP="00B56D05">
            <w:pPr>
              <w:spacing w:after="0" w:line="276" w:lineRule="auto"/>
              <w:jc w:val="both"/>
              <w:rPr>
                <w:rFonts w:ascii="Times New Roman" w:hAnsi="Times New Roman" w:cs="Times New Roman"/>
                <w:bCs/>
                <w:color w:val="000000" w:themeColor="text1"/>
                <w:lang w:val="ro-MD"/>
              </w:rPr>
            </w:pPr>
            <w:bookmarkStart w:id="4" w:name="_Hlk192855320"/>
            <w:r w:rsidRPr="00D96752">
              <w:rPr>
                <w:rFonts w:ascii="Times New Roman" w:hAnsi="Times New Roman" w:cs="Times New Roman"/>
                <w:bCs/>
                <w:color w:val="000000" w:themeColor="text1"/>
                <w:lang w:val="ro-MD"/>
              </w:rPr>
              <w:t>3</w:t>
            </w:r>
            <w:r w:rsidR="00B56D05" w:rsidRPr="00D96752">
              <w:rPr>
                <w:rFonts w:ascii="Times New Roman" w:hAnsi="Times New Roman" w:cs="Times New Roman"/>
                <w:bCs/>
                <w:color w:val="000000" w:themeColor="text1"/>
                <w:lang w:val="ro-MD"/>
              </w:rPr>
              <w:t xml:space="preserve">. Regulamentul privind cadrul de administrare a </w:t>
            </w:r>
            <w:proofErr w:type="spellStart"/>
            <w:r w:rsidR="00B56D05" w:rsidRPr="00D96752">
              <w:rPr>
                <w:rFonts w:ascii="Times New Roman" w:hAnsi="Times New Roman" w:cs="Times New Roman"/>
                <w:bCs/>
                <w:color w:val="000000" w:themeColor="text1"/>
                <w:lang w:val="ro-MD"/>
              </w:rPr>
              <w:t>activităţii</w:t>
            </w:r>
            <w:proofErr w:type="spellEnd"/>
            <w:r w:rsidR="00B56D05" w:rsidRPr="00D96752">
              <w:rPr>
                <w:rFonts w:ascii="Times New Roman" w:hAnsi="Times New Roman" w:cs="Times New Roman"/>
                <w:bCs/>
                <w:color w:val="000000" w:themeColor="text1"/>
                <w:lang w:val="ro-MD"/>
              </w:rPr>
              <w:t xml:space="preserve"> băncilor, aprobat prin Hotărârea Comitetului executiv al Băncii Naționale a Moldovei nr.322/2018 (Monitorul Oficial al Republicii Moldova, 2019, nr.1-5, art.56), înregistrat la Ministerul Justiției al Republicii Moldova cu nr.1400/2018</w:t>
            </w:r>
            <w:r w:rsidRPr="00D96752">
              <w:rPr>
                <w:rFonts w:ascii="Times New Roman" w:hAnsi="Times New Roman" w:cs="Times New Roman"/>
                <w:bCs/>
                <w:color w:val="000000" w:themeColor="text1"/>
                <w:lang w:val="ro-MD"/>
              </w:rPr>
              <w:t>, se modifică după cum urmează</w:t>
            </w:r>
            <w:r w:rsidR="00B56D05" w:rsidRPr="00D96752">
              <w:rPr>
                <w:rFonts w:ascii="Times New Roman" w:hAnsi="Times New Roman" w:cs="Times New Roman"/>
                <w:bCs/>
                <w:color w:val="000000" w:themeColor="text1"/>
                <w:lang w:val="ro-MD"/>
              </w:rPr>
              <w:t>:</w:t>
            </w:r>
          </w:p>
          <w:p w14:paraId="266B93DB" w14:textId="588A7CB3" w:rsidR="00B56D05" w:rsidRPr="00D96752" w:rsidRDefault="005A0034" w:rsidP="00D96752">
            <w:pPr>
              <w:pStyle w:val="ListParagraph"/>
              <w:numPr>
                <w:ilvl w:val="1"/>
                <w:numId w:val="4"/>
              </w:numPr>
              <w:spacing w:after="0" w:line="276" w:lineRule="auto"/>
              <w:jc w:val="both"/>
              <w:rPr>
                <w:rFonts w:ascii="Times New Roman" w:hAnsi="Times New Roman" w:cs="Times New Roman"/>
                <w:bCs/>
                <w:color w:val="000000" w:themeColor="text1"/>
                <w:lang w:val="ro-RO"/>
              </w:rPr>
            </w:pPr>
            <w:r w:rsidRPr="00D96752">
              <w:rPr>
                <w:rFonts w:ascii="Times New Roman" w:hAnsi="Times New Roman" w:cs="Times New Roman"/>
                <w:bCs/>
                <w:color w:val="000000" w:themeColor="text1"/>
                <w:lang w:val="ro-MD"/>
              </w:rPr>
              <w:t>La</w:t>
            </w:r>
            <w:r w:rsidR="00B56D05" w:rsidRPr="00D96752">
              <w:rPr>
                <w:rFonts w:ascii="Times New Roman" w:hAnsi="Times New Roman" w:cs="Times New Roman"/>
                <w:bCs/>
                <w:color w:val="000000" w:themeColor="text1"/>
                <w:lang w:val="ro-MD"/>
              </w:rPr>
              <w:t xml:space="preserve"> pct.4:</w:t>
            </w:r>
          </w:p>
          <w:p w14:paraId="19B7FD15" w14:textId="506B6FF6" w:rsidR="00191B09" w:rsidRPr="00D96752" w:rsidRDefault="00191B0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w:t>
            </w:r>
          </w:p>
          <w:p w14:paraId="54B16EA7" w14:textId="5345848F" w:rsidR="003A6646" w:rsidRPr="00D96752" w:rsidRDefault="005A003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B56D05" w:rsidRPr="00D96752">
              <w:rPr>
                <w:rFonts w:ascii="Times New Roman" w:hAnsi="Times New Roman" w:cs="Times New Roman"/>
                <w:bCs/>
                <w:color w:val="000000" w:themeColor="text1"/>
                <w:lang w:val="ro-MD"/>
              </w:rPr>
              <w:t>.1.4.</w:t>
            </w:r>
            <w:r w:rsidR="00B56D05" w:rsidRPr="00D96752">
              <w:rPr>
                <w:lang w:val="ro-RO"/>
              </w:rPr>
              <w:t xml:space="preserve"> </w:t>
            </w:r>
            <w:r w:rsidR="00B56D05" w:rsidRPr="00D96752">
              <w:rPr>
                <w:rFonts w:ascii="Times New Roman" w:hAnsi="Times New Roman" w:cs="Times New Roman"/>
                <w:bCs/>
                <w:color w:val="000000" w:themeColor="text1"/>
                <w:lang w:val="ro-MD"/>
              </w:rPr>
              <w:t>definiția „risc operațional” va avea următorul cuprins:</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risc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riscul de pierdere care rezult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fie din utilizarea unor procese, persoane sau sisteme interne inadecvate sau care nu </w:t>
            </w:r>
            <w:r w:rsidR="003A6646" w:rsidRPr="00D96752">
              <w:rPr>
                <w:rFonts w:ascii="Times New Roman" w:hAnsi="Times New Roman" w:cs="Times New Roman" w:hint="eastAsia"/>
                <w:bCs/>
                <w:color w:val="000000" w:themeColor="text1"/>
                <w:lang w:val="ro-MD"/>
              </w:rPr>
              <w:t>ș</w:t>
            </w:r>
            <w:r w:rsidR="003A6646" w:rsidRPr="00D96752">
              <w:rPr>
                <w:rFonts w:ascii="Times New Roman" w:hAnsi="Times New Roman" w:cs="Times New Roman"/>
                <w:bCs/>
                <w:color w:val="000000" w:themeColor="text1"/>
                <w:lang w:val="ro-MD"/>
              </w:rPr>
              <w:t xml:space="preserve">i-au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ndeplinit </w:t>
            </w:r>
            <w:proofErr w:type="spellStart"/>
            <w:r w:rsidR="003A6646" w:rsidRPr="00D96752">
              <w:rPr>
                <w:rFonts w:ascii="Times New Roman" w:hAnsi="Times New Roman" w:cs="Times New Roman"/>
                <w:bCs/>
                <w:color w:val="000000" w:themeColor="text1"/>
                <w:lang w:val="ro-MD"/>
              </w:rPr>
              <w:t>func</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ia</w:t>
            </w:r>
            <w:proofErr w:type="spellEnd"/>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 mod corespunz</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tor, fie din</w:t>
            </w:r>
          </w:p>
          <w:p w14:paraId="32352F6F" w14:textId="35EEE066" w:rsidR="003A6646" w:rsidRPr="00D96752" w:rsidRDefault="003A6646" w:rsidP="003A6646">
            <w:pPr>
              <w:spacing w:after="0" w:line="276" w:lineRule="auto"/>
              <w:jc w:val="both"/>
              <w:rPr>
                <w:rFonts w:ascii="Times New Roman" w:hAnsi="Times New Roman" w:cs="Times New Roman"/>
                <w:bCs/>
                <w:color w:val="000000" w:themeColor="text1"/>
                <w:lang w:val="ro-RO"/>
              </w:rPr>
            </w:pPr>
            <w:r w:rsidRPr="00D96752">
              <w:rPr>
                <w:rFonts w:ascii="Times New Roman" w:hAnsi="Times New Roman" w:cs="Times New Roman"/>
                <w:bCs/>
                <w:color w:val="000000" w:themeColor="text1"/>
                <w:lang w:val="ro-MD"/>
              </w:rPr>
              <w:t>evenimente externe, incluz</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 riscul juridic, riscul de model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riscul aferent tehnologiei </w:t>
            </w:r>
            <w:proofErr w:type="spellStart"/>
            <w:r w:rsidRPr="00D96752">
              <w:rPr>
                <w:rFonts w:ascii="Times New Roman" w:hAnsi="Times New Roman" w:cs="Times New Roman"/>
                <w:bCs/>
                <w:color w:val="000000" w:themeColor="text1"/>
                <w:lang w:val="ro-MD"/>
              </w:rPr>
              <w:t>informa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iilor</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w:t>
            </w:r>
            <w:proofErr w:type="spellStart"/>
            <w:r w:rsidRPr="00D96752">
              <w:rPr>
                <w:rFonts w:ascii="Times New Roman" w:hAnsi="Times New Roman" w:cs="Times New Roman"/>
                <w:bCs/>
                <w:color w:val="000000" w:themeColor="text1"/>
                <w:lang w:val="ro-MD"/>
              </w:rPr>
              <w:t>comunica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iilor</w:t>
            </w:r>
            <w:proofErr w:type="spellEnd"/>
            <w:r w:rsidRPr="00D96752">
              <w:rPr>
                <w:rFonts w:ascii="Times New Roman" w:hAnsi="Times New Roman" w:cs="Times New Roman"/>
                <w:bCs/>
                <w:color w:val="000000" w:themeColor="text1"/>
                <w:lang w:val="ro-MD"/>
              </w:rPr>
              <w:t>, f</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r</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a se limita la acestea, dar excluz</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 riscul strategic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riscul </w:t>
            </w:r>
            <w:proofErr w:type="spellStart"/>
            <w:r w:rsidRPr="00D96752">
              <w:rPr>
                <w:rFonts w:ascii="Times New Roman" w:hAnsi="Times New Roman" w:cs="Times New Roman"/>
                <w:bCs/>
                <w:color w:val="000000" w:themeColor="text1"/>
                <w:lang w:val="ro-MD"/>
              </w:rPr>
              <w:t>reputa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w:t>
            </w:r>
            <w:bookmarkEnd w:id="4"/>
          </w:p>
        </w:tc>
        <w:tc>
          <w:tcPr>
            <w:tcW w:w="580" w:type="pct"/>
          </w:tcPr>
          <w:p w14:paraId="3D697E28" w14:textId="15A7C79C" w:rsidR="003A6646" w:rsidRPr="00D96752" w:rsidRDefault="003A6646"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13198D4A" w14:textId="2CFB375E" w:rsidR="003A6646" w:rsidRPr="00D96752" w:rsidRDefault="00201528"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Modificat</w:t>
            </w:r>
            <w:r w:rsidR="004931B6" w:rsidRPr="00D96752">
              <w:rPr>
                <w:rFonts w:ascii="Times New Roman" w:hAnsi="Times New Roman" w:cs="Times New Roman"/>
                <w:bCs/>
                <w:color w:val="000000" w:themeColor="text1"/>
                <w:lang w:val="ro-MD"/>
              </w:rPr>
              <w:t>ă definiția „risc operațional” din</w:t>
            </w:r>
            <w:r w:rsidRPr="00D96752">
              <w:rPr>
                <w:rFonts w:ascii="Times New Roman" w:hAnsi="Times New Roman" w:cs="Times New Roman"/>
                <w:bCs/>
                <w:color w:val="000000" w:themeColor="text1"/>
                <w:lang w:val="ro-MD"/>
              </w:rPr>
              <w:t xml:space="preserve"> Regulamentul nr.322/2018 privind cadrul de administrare a </w:t>
            </w:r>
            <w:proofErr w:type="spellStart"/>
            <w:r w:rsidRPr="00D96752">
              <w:rPr>
                <w:rFonts w:ascii="Times New Roman" w:hAnsi="Times New Roman" w:cs="Times New Roman"/>
                <w:bCs/>
                <w:color w:val="000000" w:themeColor="text1"/>
                <w:lang w:val="ro-MD"/>
              </w:rPr>
              <w:t>activităţii</w:t>
            </w:r>
            <w:proofErr w:type="spellEnd"/>
            <w:r w:rsidRPr="00D96752">
              <w:rPr>
                <w:rFonts w:ascii="Times New Roman" w:hAnsi="Times New Roman" w:cs="Times New Roman"/>
                <w:bCs/>
                <w:color w:val="000000" w:themeColor="text1"/>
                <w:lang w:val="ro-MD"/>
              </w:rPr>
              <w:t xml:space="preserve"> băncilor</w:t>
            </w:r>
          </w:p>
        </w:tc>
      </w:tr>
      <w:tr w:rsidR="003A6646" w:rsidRPr="00D96752" w14:paraId="6833AC0A"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F1B6360" w14:textId="3A1B9FF9" w:rsidR="003A6646" w:rsidRPr="00D96752" w:rsidRDefault="003A6646" w:rsidP="003A6646">
            <w:pPr>
              <w:spacing w:after="0" w:line="276" w:lineRule="auto"/>
              <w:jc w:val="both"/>
              <w:rPr>
                <w:rFonts w:ascii="Times New Roman" w:hAnsi="Times New Roman" w:cs="Times New Roman"/>
                <w:bCs/>
                <w:color w:val="000000" w:themeColor="text1"/>
                <w:lang w:val="ro-MD"/>
              </w:rPr>
            </w:pPr>
            <w:bookmarkStart w:id="5" w:name="_Hlk191458623"/>
            <w:r w:rsidRPr="00D96752">
              <w:rPr>
                <w:rFonts w:ascii="Times New Roman" w:hAnsi="Times New Roman" w:cs="Times New Roman"/>
                <w:bCs/>
                <w:color w:val="000000" w:themeColor="text1"/>
                <w:lang w:val="ro-MD"/>
              </w:rPr>
              <w:t xml:space="preserve">52a.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risc</w:t>
            </w:r>
            <w:proofErr w:type="gramEnd"/>
            <w:r w:rsidRPr="00D96752">
              <w:rPr>
                <w:rFonts w:ascii="Times New Roman" w:hAnsi="Times New Roman" w:cs="Times New Roman"/>
                <w:bCs/>
                <w:color w:val="000000" w:themeColor="text1"/>
                <w:lang w:val="ro-MD"/>
              </w:rPr>
              <w:t xml:space="preserve"> juridic</w:t>
            </w:r>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riscul de pierdere, inclusiv cheltuielile, amenzile, </w:t>
            </w:r>
            <w:proofErr w:type="spellStart"/>
            <w:r w:rsidRPr="00D96752">
              <w:rPr>
                <w:rFonts w:ascii="Times New Roman" w:hAnsi="Times New Roman" w:cs="Times New Roman"/>
                <w:bCs/>
                <w:color w:val="000000" w:themeColor="text1"/>
                <w:lang w:val="ro-MD"/>
              </w:rPr>
              <w:t>penalit</w:t>
            </w:r>
            <w:r w:rsidRPr="00D96752">
              <w:rPr>
                <w:rFonts w:ascii="Times New Roman" w:hAnsi="Times New Roman" w:cs="Times New Roman" w:hint="eastAsia"/>
                <w:bCs/>
                <w:color w:val="000000" w:themeColor="text1"/>
                <w:lang w:val="ro-MD"/>
              </w:rPr>
              <w:t>ăţ</w:t>
            </w:r>
            <w:r w:rsidRPr="00D96752">
              <w:rPr>
                <w:rFonts w:ascii="Times New Roman" w:hAnsi="Times New Roman" w:cs="Times New Roman"/>
                <w:bCs/>
                <w:color w:val="000000" w:themeColor="text1"/>
                <w:lang w:val="ro-MD"/>
              </w:rPr>
              <w:t>ile</w:t>
            </w:r>
            <w:proofErr w:type="spellEnd"/>
            <w:r w:rsidRPr="00D96752">
              <w:rPr>
                <w:rFonts w:ascii="Times New Roman" w:hAnsi="Times New Roman" w:cs="Times New Roman"/>
                <w:bCs/>
                <w:color w:val="000000" w:themeColor="text1"/>
                <w:lang w:val="ro-MD"/>
              </w:rPr>
              <w:t xml:space="preserve"> sau daunele punitive pe care o </w:t>
            </w:r>
            <w:proofErr w:type="spellStart"/>
            <w:r w:rsidRPr="00D96752">
              <w:rPr>
                <w:rFonts w:ascii="Times New Roman" w:hAnsi="Times New Roman" w:cs="Times New Roman"/>
                <w:bCs/>
                <w:color w:val="000000" w:themeColor="text1"/>
                <w:lang w:val="ro-MD"/>
              </w:rPr>
              <w:t>institu</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ie</w:t>
            </w:r>
            <w:proofErr w:type="spellEnd"/>
            <w:r w:rsidRPr="00D96752">
              <w:rPr>
                <w:rFonts w:ascii="Times New Roman" w:hAnsi="Times New Roman" w:cs="Times New Roman"/>
                <w:bCs/>
                <w:color w:val="000000" w:themeColor="text1"/>
                <w:lang w:val="ro-MD"/>
              </w:rPr>
              <w:t xml:space="preserve"> le-ar putea suporta ca urmare a unor evenimente care duc la proceduri judiciare, inclusiv urm</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toarele:</w:t>
            </w:r>
          </w:p>
          <w:p w14:paraId="72A97714"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(a)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w:t>
            </w:r>
            <w:proofErr w:type="spellEnd"/>
            <w:r w:rsidRPr="00D96752">
              <w:rPr>
                <w:rFonts w:ascii="Times New Roman" w:hAnsi="Times New Roman" w:cs="Times New Roman"/>
                <w:bCs/>
                <w:color w:val="000000" w:themeColor="text1"/>
                <w:lang w:val="ro-MD"/>
              </w:rPr>
              <w:t xml:space="preserve"> de supraveghere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w:t>
            </w:r>
            <w:proofErr w:type="spellStart"/>
            <w:r w:rsidRPr="00D96752">
              <w:rPr>
                <w:rFonts w:ascii="Times New Roman" w:hAnsi="Times New Roman" w:cs="Times New Roman"/>
                <w:bCs/>
                <w:color w:val="000000" w:themeColor="text1"/>
                <w:lang w:val="ro-MD"/>
              </w:rPr>
              <w:t>tranzac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extrajudiciare;</w:t>
            </w:r>
          </w:p>
          <w:p w14:paraId="35173F85" w14:textId="14BA019C"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(b) </w:t>
            </w:r>
            <w:proofErr w:type="spellStart"/>
            <w:r w:rsidRPr="00D96752">
              <w:rPr>
                <w:rFonts w:ascii="Times New Roman" w:hAnsi="Times New Roman" w:cs="Times New Roman"/>
                <w:bCs/>
                <w:color w:val="000000" w:themeColor="text1"/>
                <w:lang w:val="ro-MD"/>
              </w:rPr>
              <w:t>absen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a</w:t>
            </w:r>
            <w:proofErr w:type="spellEnd"/>
            <w:r w:rsidRPr="00D96752">
              <w:rPr>
                <w:rFonts w:ascii="Times New Roman" w:hAnsi="Times New Roman" w:cs="Times New Roman"/>
                <w:bCs/>
                <w:color w:val="000000" w:themeColor="text1"/>
                <w:lang w:val="ro-MD"/>
              </w:rPr>
              <w:t xml:space="preserve"> unei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w:t>
            </w:r>
            <w:proofErr w:type="spellEnd"/>
            <w:r w:rsidRPr="00D96752">
              <w:rPr>
                <w:rFonts w:ascii="Times New Roman" w:hAnsi="Times New Roman" w:cs="Times New Roman"/>
                <w:bCs/>
                <w:color w:val="000000" w:themeColor="text1"/>
                <w:lang w:val="ro-MD"/>
              </w:rPr>
              <w:t xml:space="preserve"> atunci c</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 o astfel de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iune</w:t>
            </w:r>
            <w:proofErr w:type="spellEnd"/>
            <w:r w:rsidRPr="00D96752">
              <w:rPr>
                <w:rFonts w:ascii="Times New Roman" w:hAnsi="Times New Roman" w:cs="Times New Roman"/>
                <w:bCs/>
                <w:color w:val="000000" w:themeColor="text1"/>
                <w:lang w:val="ro-MD"/>
              </w:rPr>
              <w:t xml:space="preserve"> este necesar</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pentru a respecta o </w:t>
            </w:r>
            <w:proofErr w:type="spellStart"/>
            <w:r w:rsidRPr="00D96752">
              <w:rPr>
                <w:rFonts w:ascii="Times New Roman" w:hAnsi="Times New Roman" w:cs="Times New Roman"/>
                <w:bCs/>
                <w:color w:val="000000" w:themeColor="text1"/>
                <w:lang w:val="ro-MD"/>
              </w:rPr>
              <w:t>obliga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ie</w:t>
            </w:r>
            <w:proofErr w:type="spellEnd"/>
            <w:r w:rsidRPr="00D96752">
              <w:rPr>
                <w:rFonts w:ascii="Times New Roman" w:hAnsi="Times New Roman" w:cs="Times New Roman"/>
                <w:bCs/>
                <w:color w:val="000000" w:themeColor="text1"/>
                <w:lang w:val="ro-MD"/>
              </w:rPr>
              <w:t xml:space="preserve"> juridic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w:t>
            </w:r>
          </w:p>
          <w:p w14:paraId="2C0A7F3E" w14:textId="2C93F1F5"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(c)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ntreprinse pentru a evita respectarea unei </w:t>
            </w:r>
            <w:proofErr w:type="spellStart"/>
            <w:r w:rsidRPr="00D96752">
              <w:rPr>
                <w:rFonts w:ascii="Times New Roman" w:hAnsi="Times New Roman" w:cs="Times New Roman"/>
                <w:bCs/>
                <w:color w:val="000000" w:themeColor="text1"/>
                <w:lang w:val="ro-MD"/>
              </w:rPr>
              <w:t>obliga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juridice;</w:t>
            </w:r>
          </w:p>
          <w:p w14:paraId="3993CD4C" w14:textId="175896B9"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 evenimente legate de o conduit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necorespunz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toare, care sunt evenimente ce rezult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din abateri s</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v</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r</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ite cu </w:t>
            </w:r>
            <w:proofErr w:type="spellStart"/>
            <w:r w:rsidRPr="00D96752">
              <w:rPr>
                <w:rFonts w:ascii="Times New Roman" w:hAnsi="Times New Roman" w:cs="Times New Roman"/>
                <w:bCs/>
                <w:color w:val="000000" w:themeColor="text1"/>
                <w:lang w:val="ro-MD"/>
              </w:rPr>
              <w:t>inten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ie</w:t>
            </w:r>
            <w:proofErr w:type="spellEnd"/>
            <w:r w:rsidRPr="00D96752">
              <w:rPr>
                <w:rFonts w:ascii="Times New Roman" w:hAnsi="Times New Roman" w:cs="Times New Roman"/>
                <w:bCs/>
                <w:color w:val="000000" w:themeColor="text1"/>
                <w:lang w:val="ro-MD"/>
              </w:rPr>
              <w:t xml:space="preserve"> sau din </w:t>
            </w:r>
            <w:proofErr w:type="spellStart"/>
            <w:r w:rsidRPr="00D96752">
              <w:rPr>
                <w:rFonts w:ascii="Times New Roman" w:hAnsi="Times New Roman" w:cs="Times New Roman"/>
                <w:bCs/>
                <w:color w:val="000000" w:themeColor="text1"/>
                <w:lang w:val="ro-MD"/>
              </w:rPr>
              <w:t>neglijen</w:t>
            </w:r>
            <w:r w:rsidRPr="00D96752">
              <w:rPr>
                <w:rFonts w:ascii="Times New Roman" w:hAnsi="Times New Roman" w:cs="Times New Roman" w:hint="eastAsia"/>
                <w:bCs/>
                <w:color w:val="000000" w:themeColor="text1"/>
                <w:lang w:val="ro-MD"/>
              </w:rPr>
              <w:t>ţă</w:t>
            </w:r>
            <w:proofErr w:type="spellEnd"/>
            <w:r w:rsidRPr="00D96752">
              <w:rPr>
                <w:rFonts w:ascii="Times New Roman" w:hAnsi="Times New Roman" w:cs="Times New Roman"/>
                <w:bCs/>
                <w:color w:val="000000" w:themeColor="text1"/>
                <w:lang w:val="ro-MD"/>
              </w:rPr>
              <w:t>, inclusiv prestarea necorespunz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toare de servicii financiare sau furnizarea de </w:t>
            </w:r>
            <w:proofErr w:type="spellStart"/>
            <w:r w:rsidRPr="00D96752">
              <w:rPr>
                <w:rFonts w:ascii="Times New Roman" w:hAnsi="Times New Roman" w:cs="Times New Roman"/>
                <w:bCs/>
                <w:color w:val="000000" w:themeColor="text1"/>
                <w:lang w:val="ro-MD"/>
              </w:rPr>
              <w:t>informa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inadecvate sau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el</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toare privind riscul financiar al produselor v</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ndute de </w:t>
            </w:r>
            <w:proofErr w:type="spellStart"/>
            <w:r w:rsidRPr="00D96752">
              <w:rPr>
                <w:rFonts w:ascii="Times New Roman" w:hAnsi="Times New Roman" w:cs="Times New Roman"/>
                <w:bCs/>
                <w:color w:val="000000" w:themeColor="text1"/>
                <w:lang w:val="ro-MD"/>
              </w:rPr>
              <w:t>institu</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ie</w:t>
            </w:r>
            <w:proofErr w:type="spellEnd"/>
            <w:r w:rsidRPr="00D96752">
              <w:rPr>
                <w:rFonts w:ascii="Times New Roman" w:hAnsi="Times New Roman" w:cs="Times New Roman"/>
                <w:bCs/>
                <w:color w:val="000000" w:themeColor="text1"/>
                <w:lang w:val="ro-MD"/>
              </w:rPr>
              <w:t>;</w:t>
            </w:r>
          </w:p>
          <w:p w14:paraId="52D50625" w14:textId="59940702"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(e) nerespectarea oric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rei </w:t>
            </w:r>
            <w:proofErr w:type="spellStart"/>
            <w:r w:rsidRPr="00D96752">
              <w:rPr>
                <w:rFonts w:ascii="Times New Roman" w:hAnsi="Times New Roman" w:cs="Times New Roman"/>
                <w:bCs/>
                <w:color w:val="000000" w:themeColor="text1"/>
                <w:lang w:val="ro-MD"/>
              </w:rPr>
              <w:t>cerin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e</w:t>
            </w:r>
            <w:proofErr w:type="spellEnd"/>
            <w:r w:rsidRPr="00D96752">
              <w:rPr>
                <w:rFonts w:ascii="Times New Roman" w:hAnsi="Times New Roman" w:cs="Times New Roman"/>
                <w:bCs/>
                <w:color w:val="000000" w:themeColor="text1"/>
                <w:lang w:val="ro-MD"/>
              </w:rPr>
              <w:t xml:space="preserve"> derivate din </w:t>
            </w:r>
            <w:proofErr w:type="spellStart"/>
            <w:r w:rsidRPr="00D96752">
              <w:rPr>
                <w:rFonts w:ascii="Times New Roman" w:hAnsi="Times New Roman" w:cs="Times New Roman"/>
                <w:bCs/>
                <w:color w:val="000000" w:themeColor="text1"/>
                <w:lang w:val="ro-MD"/>
              </w:rPr>
              <w:t>dispozi</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iile</w:t>
            </w:r>
            <w:proofErr w:type="spellEnd"/>
            <w:r w:rsidRPr="00D96752">
              <w:rPr>
                <w:rFonts w:ascii="Times New Roman" w:hAnsi="Times New Roman" w:cs="Times New Roman"/>
                <w:bCs/>
                <w:color w:val="000000" w:themeColor="text1"/>
                <w:lang w:val="ro-MD"/>
              </w:rPr>
              <w:t xml:space="preserve"> statutare sau legislative </w:t>
            </w:r>
            <w:proofErr w:type="spellStart"/>
            <w:r w:rsidRPr="00D96752">
              <w:rPr>
                <w:rFonts w:ascii="Times New Roman" w:hAnsi="Times New Roman" w:cs="Times New Roman"/>
                <w:bCs/>
                <w:color w:val="000000" w:themeColor="text1"/>
                <w:lang w:val="ro-MD"/>
              </w:rPr>
              <w:t>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 xml:space="preserve"> sau </w:t>
            </w:r>
            <w:proofErr w:type="spellStart"/>
            <w:r w:rsidRPr="00D96752">
              <w:rPr>
                <w:rFonts w:ascii="Times New Roman" w:hAnsi="Times New Roman" w:cs="Times New Roman"/>
                <w:bCs/>
                <w:color w:val="000000" w:themeColor="text1"/>
                <w:lang w:val="ro-MD"/>
              </w:rPr>
              <w:t>interna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w:t>
            </w:r>
          </w:p>
          <w:p w14:paraId="5159A9C2"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 nerespectarea oric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rei </w:t>
            </w:r>
            <w:proofErr w:type="spellStart"/>
            <w:r w:rsidRPr="00D96752">
              <w:rPr>
                <w:rFonts w:ascii="Times New Roman" w:hAnsi="Times New Roman" w:cs="Times New Roman"/>
                <w:bCs/>
                <w:color w:val="000000" w:themeColor="text1"/>
                <w:lang w:val="ro-MD"/>
              </w:rPr>
              <w:t>cerin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e</w:t>
            </w:r>
            <w:proofErr w:type="spellEnd"/>
            <w:r w:rsidRPr="00D96752">
              <w:rPr>
                <w:rFonts w:ascii="Times New Roman" w:hAnsi="Times New Roman" w:cs="Times New Roman"/>
                <w:bCs/>
                <w:color w:val="000000" w:themeColor="text1"/>
                <w:lang w:val="ro-MD"/>
              </w:rPr>
              <w:t xml:space="preserve"> derivate din acorduri</w:t>
            </w:r>
          </w:p>
          <w:p w14:paraId="09C358EA" w14:textId="75DE7DE2"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contractuale sau a unor norme interne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i coduri de conduit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stabilite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conformitate cu normele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practicile </w:t>
            </w:r>
            <w:proofErr w:type="spellStart"/>
            <w:r w:rsidRPr="00D96752">
              <w:rPr>
                <w:rFonts w:ascii="Times New Roman" w:hAnsi="Times New Roman" w:cs="Times New Roman"/>
                <w:bCs/>
                <w:color w:val="000000" w:themeColor="text1"/>
                <w:lang w:val="ro-MD"/>
              </w:rPr>
              <w:t>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 xml:space="preserve"> sau </w:t>
            </w:r>
            <w:proofErr w:type="spellStart"/>
            <w:r w:rsidRPr="00D96752">
              <w:rPr>
                <w:rFonts w:ascii="Times New Roman" w:hAnsi="Times New Roman" w:cs="Times New Roman"/>
                <w:bCs/>
                <w:color w:val="000000" w:themeColor="text1"/>
                <w:lang w:val="ro-MD"/>
              </w:rPr>
              <w:t>interna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w:t>
            </w:r>
          </w:p>
          <w:p w14:paraId="7BCFA450" w14:textId="2636C70D"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(g) nerespectarea normelor de etic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w:t>
            </w:r>
          </w:p>
        </w:tc>
        <w:tc>
          <w:tcPr>
            <w:tcW w:w="1588" w:type="pct"/>
            <w:shd w:val="clear" w:color="auto" w:fill="auto"/>
          </w:tcPr>
          <w:p w14:paraId="283F7B1C" w14:textId="10C57ACA" w:rsidR="00B56D05" w:rsidRPr="00D96752" w:rsidRDefault="005A0034" w:rsidP="00B56D05">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w:t>
            </w:r>
            <w:r w:rsidR="00B56D05" w:rsidRPr="00D96752">
              <w:rPr>
                <w:rFonts w:ascii="Times New Roman" w:hAnsi="Times New Roman" w:cs="Times New Roman"/>
                <w:bCs/>
                <w:color w:val="000000" w:themeColor="text1"/>
                <w:lang w:val="ro-MD"/>
              </w:rPr>
              <w:t xml:space="preserve">. Regulamentul privind cadrul de administrare a </w:t>
            </w:r>
            <w:proofErr w:type="spellStart"/>
            <w:r w:rsidR="00B56D05" w:rsidRPr="00D96752">
              <w:rPr>
                <w:rFonts w:ascii="Times New Roman" w:hAnsi="Times New Roman" w:cs="Times New Roman"/>
                <w:bCs/>
                <w:color w:val="000000" w:themeColor="text1"/>
                <w:lang w:val="ro-MD"/>
              </w:rPr>
              <w:t>activităţii</w:t>
            </w:r>
            <w:proofErr w:type="spellEnd"/>
            <w:r w:rsidR="00B56D05" w:rsidRPr="00D96752">
              <w:rPr>
                <w:rFonts w:ascii="Times New Roman" w:hAnsi="Times New Roman" w:cs="Times New Roman"/>
                <w:bCs/>
                <w:color w:val="000000" w:themeColor="text1"/>
                <w:lang w:val="ro-MD"/>
              </w:rPr>
              <w:t xml:space="preserve"> băncilor, aprobat prin Hotărârea Comitetului executiv al Băncii Naționale a Moldovei nr.322/2018 (Monitorul Oficial al Republicii Moldova, 2019, nr.1-5, art.56), înregistrat la Ministerul Justiției al Republicii Moldova cu nr.1400/2018</w:t>
            </w:r>
            <w:r w:rsidRPr="00D96752">
              <w:rPr>
                <w:rFonts w:ascii="Times New Roman" w:hAnsi="Times New Roman" w:cs="Times New Roman"/>
                <w:bCs/>
                <w:color w:val="000000" w:themeColor="text1"/>
                <w:lang w:val="ro-MD"/>
              </w:rPr>
              <w:t>, se modifică după cum urmează</w:t>
            </w:r>
            <w:r w:rsidR="00B56D05" w:rsidRPr="00D96752">
              <w:rPr>
                <w:rFonts w:ascii="Times New Roman" w:hAnsi="Times New Roman" w:cs="Times New Roman"/>
                <w:bCs/>
                <w:color w:val="000000" w:themeColor="text1"/>
                <w:lang w:val="ro-MD"/>
              </w:rPr>
              <w:t>:</w:t>
            </w:r>
          </w:p>
          <w:p w14:paraId="171A54A4" w14:textId="3A9E0592" w:rsidR="00B56D05" w:rsidRPr="00D96752" w:rsidRDefault="005A0034" w:rsidP="00B56D05">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B56D05" w:rsidRPr="00D96752">
              <w:rPr>
                <w:rFonts w:ascii="Times New Roman" w:hAnsi="Times New Roman" w:cs="Times New Roman"/>
                <w:bCs/>
                <w:color w:val="000000" w:themeColor="text1"/>
                <w:lang w:val="ro-MD"/>
              </w:rPr>
              <w:t>.1.</w:t>
            </w:r>
            <w:r w:rsidR="00B56D05" w:rsidRPr="00D96752">
              <w:rPr>
                <w:rFonts w:ascii="Times New Roman" w:hAnsi="Times New Roman" w:cs="Times New Roman"/>
                <w:bCs/>
                <w:color w:val="000000" w:themeColor="text1"/>
                <w:lang w:val="ro-MD"/>
              </w:rPr>
              <w:tab/>
            </w:r>
            <w:r w:rsidRPr="00D96752">
              <w:rPr>
                <w:rFonts w:ascii="Times New Roman" w:hAnsi="Times New Roman" w:cs="Times New Roman"/>
                <w:bCs/>
                <w:color w:val="000000" w:themeColor="text1"/>
                <w:lang w:val="ro-MD"/>
              </w:rPr>
              <w:t>La</w:t>
            </w:r>
            <w:r w:rsidR="00B56D05" w:rsidRPr="00D96752">
              <w:rPr>
                <w:rFonts w:ascii="Times New Roman" w:hAnsi="Times New Roman" w:cs="Times New Roman"/>
                <w:bCs/>
                <w:color w:val="000000" w:themeColor="text1"/>
                <w:lang w:val="ro-MD"/>
              </w:rPr>
              <w:t xml:space="preserve"> pct.4:</w:t>
            </w:r>
            <w:r w:rsidR="003A6646" w:rsidRPr="00D96752">
              <w:rPr>
                <w:rFonts w:ascii="Times New Roman" w:hAnsi="Times New Roman" w:cs="Times New Roman"/>
                <w:bCs/>
                <w:color w:val="000000" w:themeColor="text1"/>
                <w:lang w:val="ro-MD"/>
              </w:rPr>
              <w:t xml:space="preserve"> </w:t>
            </w:r>
            <w:bookmarkStart w:id="6" w:name="_Hlk199936743"/>
          </w:p>
          <w:p w14:paraId="61012334" w14:textId="5CF5EE80" w:rsidR="00191B09" w:rsidRPr="00D96752" w:rsidRDefault="00191B09" w:rsidP="00B56D05">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w:t>
            </w:r>
          </w:p>
          <w:p w14:paraId="282379D4" w14:textId="7E346451" w:rsidR="003A6646" w:rsidRPr="00D96752" w:rsidRDefault="005A003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B56D05" w:rsidRPr="00D96752">
              <w:rPr>
                <w:rFonts w:ascii="Times New Roman" w:hAnsi="Times New Roman" w:cs="Times New Roman"/>
                <w:bCs/>
                <w:color w:val="000000" w:themeColor="text1"/>
                <w:lang w:val="ro-MD"/>
              </w:rPr>
              <w:t>.1.2.</w:t>
            </w:r>
            <w:r w:rsidR="00B56D05" w:rsidRPr="00D96752">
              <w:rPr>
                <w:rFonts w:ascii="Times New Roman" w:hAnsi="Times New Roman" w:cs="Times New Roman"/>
                <w:bCs/>
                <w:color w:val="000000" w:themeColor="text1"/>
                <w:lang w:val="ro-MD"/>
              </w:rPr>
              <w:tab/>
              <w:t xml:space="preserve">după definiția „risc de decontare” se introduce definiția „risc juridic ”  cu următorul conținut: </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risc juridic</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riscul de pierdere, inclusiv cheltuielile, amenzile, </w:t>
            </w:r>
            <w:proofErr w:type="spellStart"/>
            <w:r w:rsidR="003A6646" w:rsidRPr="00D96752">
              <w:rPr>
                <w:rFonts w:ascii="Times New Roman" w:hAnsi="Times New Roman" w:cs="Times New Roman"/>
                <w:bCs/>
                <w:color w:val="000000" w:themeColor="text1"/>
                <w:lang w:val="ro-MD"/>
              </w:rPr>
              <w:t>penalit</w:t>
            </w:r>
            <w:r w:rsidR="003A6646" w:rsidRPr="00D96752">
              <w:rPr>
                <w:rFonts w:ascii="Times New Roman" w:hAnsi="Times New Roman" w:cs="Times New Roman" w:hint="eastAsia"/>
                <w:bCs/>
                <w:color w:val="000000" w:themeColor="text1"/>
                <w:lang w:val="ro-MD"/>
              </w:rPr>
              <w:t>ăţ</w:t>
            </w:r>
            <w:r w:rsidR="003A6646" w:rsidRPr="00D96752">
              <w:rPr>
                <w:rFonts w:ascii="Times New Roman" w:hAnsi="Times New Roman" w:cs="Times New Roman"/>
                <w:bCs/>
                <w:color w:val="000000" w:themeColor="text1"/>
                <w:lang w:val="ro-MD"/>
              </w:rPr>
              <w:t>ile</w:t>
            </w:r>
            <w:proofErr w:type="spellEnd"/>
            <w:r w:rsidR="003A6646" w:rsidRPr="00D96752">
              <w:rPr>
                <w:rFonts w:ascii="Times New Roman" w:hAnsi="Times New Roman" w:cs="Times New Roman"/>
                <w:bCs/>
                <w:color w:val="000000" w:themeColor="text1"/>
                <w:lang w:val="ro-MD"/>
              </w:rPr>
              <w:t xml:space="preserve"> sau daunele punitive pe care o </w:t>
            </w:r>
            <w:r w:rsidR="00DE21DF" w:rsidRPr="00D96752">
              <w:rPr>
                <w:rFonts w:ascii="Times New Roman" w:hAnsi="Times New Roman" w:cs="Times New Roman"/>
                <w:bCs/>
                <w:color w:val="000000" w:themeColor="text1"/>
                <w:lang w:val="ro-MD"/>
              </w:rPr>
              <w:t xml:space="preserve">bancă </w:t>
            </w:r>
            <w:r w:rsidR="003A6646" w:rsidRPr="00D96752">
              <w:rPr>
                <w:rFonts w:ascii="Times New Roman" w:hAnsi="Times New Roman" w:cs="Times New Roman"/>
                <w:bCs/>
                <w:color w:val="000000" w:themeColor="text1"/>
                <w:lang w:val="ro-MD"/>
              </w:rPr>
              <w:t>le-ar putea suporta ca urmare a unor evenimente care duc la proceduri judiciare, inclusiv urm</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toarele:</w:t>
            </w:r>
          </w:p>
          <w:p w14:paraId="74058C82" w14:textId="2C73279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 xml:space="preserve">a)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w:t>
            </w:r>
            <w:proofErr w:type="spellEnd"/>
            <w:r w:rsidRPr="00D96752">
              <w:rPr>
                <w:rFonts w:ascii="Times New Roman" w:hAnsi="Times New Roman" w:cs="Times New Roman"/>
                <w:bCs/>
                <w:color w:val="000000" w:themeColor="text1"/>
                <w:lang w:val="ro-MD"/>
              </w:rPr>
              <w:t xml:space="preserve"> de supraveghere și </w:t>
            </w:r>
            <w:proofErr w:type="spellStart"/>
            <w:r w:rsidRPr="00D96752">
              <w:rPr>
                <w:rFonts w:ascii="Times New Roman" w:hAnsi="Times New Roman" w:cs="Times New Roman"/>
                <w:bCs/>
                <w:color w:val="000000" w:themeColor="text1"/>
                <w:lang w:val="ro-MD"/>
              </w:rPr>
              <w:t>tranzac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extrajudiciare;</w:t>
            </w:r>
          </w:p>
          <w:p w14:paraId="13EC56E8" w14:textId="58C2A46B"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b) </w:t>
            </w:r>
            <w:proofErr w:type="spellStart"/>
            <w:r w:rsidRPr="00D96752">
              <w:rPr>
                <w:rFonts w:ascii="Times New Roman" w:hAnsi="Times New Roman" w:cs="Times New Roman"/>
                <w:bCs/>
                <w:color w:val="000000" w:themeColor="text1"/>
                <w:lang w:val="ro-MD"/>
              </w:rPr>
              <w:t>absen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a</w:t>
            </w:r>
            <w:proofErr w:type="spellEnd"/>
            <w:r w:rsidRPr="00D96752">
              <w:rPr>
                <w:rFonts w:ascii="Times New Roman" w:hAnsi="Times New Roman" w:cs="Times New Roman"/>
                <w:bCs/>
                <w:color w:val="000000" w:themeColor="text1"/>
                <w:lang w:val="ro-MD"/>
              </w:rPr>
              <w:t xml:space="preserve"> unei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w:t>
            </w:r>
            <w:proofErr w:type="spellEnd"/>
            <w:r w:rsidRPr="00D96752">
              <w:rPr>
                <w:rFonts w:ascii="Times New Roman" w:hAnsi="Times New Roman" w:cs="Times New Roman"/>
                <w:bCs/>
                <w:color w:val="000000" w:themeColor="text1"/>
                <w:lang w:val="ro-MD"/>
              </w:rPr>
              <w:t xml:space="preserve"> atunci c</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 o astfel de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iune</w:t>
            </w:r>
            <w:proofErr w:type="spellEnd"/>
            <w:r w:rsidRPr="00D96752">
              <w:rPr>
                <w:rFonts w:ascii="Times New Roman" w:hAnsi="Times New Roman" w:cs="Times New Roman"/>
                <w:bCs/>
                <w:color w:val="000000" w:themeColor="text1"/>
                <w:lang w:val="ro-MD"/>
              </w:rPr>
              <w:t xml:space="preserve"> este necesar</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pentru a respecta o </w:t>
            </w:r>
            <w:proofErr w:type="spellStart"/>
            <w:r w:rsidRPr="00D96752">
              <w:rPr>
                <w:rFonts w:ascii="Times New Roman" w:hAnsi="Times New Roman" w:cs="Times New Roman"/>
                <w:bCs/>
                <w:color w:val="000000" w:themeColor="text1"/>
                <w:lang w:val="ro-MD"/>
              </w:rPr>
              <w:t>obliga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ie</w:t>
            </w:r>
            <w:proofErr w:type="spellEnd"/>
            <w:r w:rsidRPr="00D96752">
              <w:rPr>
                <w:rFonts w:ascii="Times New Roman" w:hAnsi="Times New Roman" w:cs="Times New Roman"/>
                <w:bCs/>
                <w:color w:val="000000" w:themeColor="text1"/>
                <w:lang w:val="ro-MD"/>
              </w:rPr>
              <w:t xml:space="preserve"> juridic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w:t>
            </w:r>
          </w:p>
          <w:p w14:paraId="6CCEC989" w14:textId="3E2A9189"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c) </w:t>
            </w:r>
            <w:proofErr w:type="spellStart"/>
            <w:r w:rsidRPr="00D96752">
              <w:rPr>
                <w:rFonts w:ascii="Times New Roman" w:hAnsi="Times New Roman" w:cs="Times New Roman"/>
                <w:bCs/>
                <w:color w:val="000000" w:themeColor="text1"/>
                <w:lang w:val="ro-MD"/>
              </w:rPr>
              <w:t>ac</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ntreprinse pentru a evita respectarea unei </w:t>
            </w:r>
            <w:proofErr w:type="spellStart"/>
            <w:r w:rsidRPr="00D96752">
              <w:rPr>
                <w:rFonts w:ascii="Times New Roman" w:hAnsi="Times New Roman" w:cs="Times New Roman"/>
                <w:bCs/>
                <w:color w:val="000000" w:themeColor="text1"/>
                <w:lang w:val="ro-MD"/>
              </w:rPr>
              <w:t>obliga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juridice;</w:t>
            </w:r>
          </w:p>
          <w:p w14:paraId="54168301" w14:textId="7D6FB862"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 evenimente legate de o conduit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necorespunz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toare, care sunt evenimente ce rezult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din abateri s</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v</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rșite cu </w:t>
            </w:r>
            <w:proofErr w:type="spellStart"/>
            <w:r w:rsidRPr="00D96752">
              <w:rPr>
                <w:rFonts w:ascii="Times New Roman" w:hAnsi="Times New Roman" w:cs="Times New Roman"/>
                <w:bCs/>
                <w:color w:val="000000" w:themeColor="text1"/>
                <w:lang w:val="ro-MD"/>
              </w:rPr>
              <w:t>inten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ie</w:t>
            </w:r>
            <w:proofErr w:type="spellEnd"/>
            <w:r w:rsidRPr="00D96752">
              <w:rPr>
                <w:rFonts w:ascii="Times New Roman" w:hAnsi="Times New Roman" w:cs="Times New Roman"/>
                <w:bCs/>
                <w:color w:val="000000" w:themeColor="text1"/>
                <w:lang w:val="ro-MD"/>
              </w:rPr>
              <w:t xml:space="preserve"> sau din </w:t>
            </w:r>
            <w:proofErr w:type="spellStart"/>
            <w:r w:rsidRPr="00D96752">
              <w:rPr>
                <w:rFonts w:ascii="Times New Roman" w:hAnsi="Times New Roman" w:cs="Times New Roman"/>
                <w:bCs/>
                <w:color w:val="000000" w:themeColor="text1"/>
                <w:lang w:val="ro-MD"/>
              </w:rPr>
              <w:t>neglijen</w:t>
            </w:r>
            <w:r w:rsidRPr="00D96752">
              <w:rPr>
                <w:rFonts w:ascii="Times New Roman" w:hAnsi="Times New Roman" w:cs="Times New Roman" w:hint="eastAsia"/>
                <w:bCs/>
                <w:color w:val="000000" w:themeColor="text1"/>
                <w:lang w:val="ro-MD"/>
              </w:rPr>
              <w:t>ţă</w:t>
            </w:r>
            <w:proofErr w:type="spellEnd"/>
            <w:r w:rsidRPr="00D96752">
              <w:rPr>
                <w:rFonts w:ascii="Times New Roman" w:hAnsi="Times New Roman" w:cs="Times New Roman"/>
                <w:bCs/>
                <w:color w:val="000000" w:themeColor="text1"/>
                <w:lang w:val="ro-MD"/>
              </w:rPr>
              <w:t>, inclusiv prestarea necorespunz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toare de servicii financiare sau furnizarea de </w:t>
            </w:r>
            <w:proofErr w:type="spellStart"/>
            <w:r w:rsidRPr="00D96752">
              <w:rPr>
                <w:rFonts w:ascii="Times New Roman" w:hAnsi="Times New Roman" w:cs="Times New Roman"/>
                <w:bCs/>
                <w:color w:val="000000" w:themeColor="text1"/>
                <w:lang w:val="ro-MD"/>
              </w:rPr>
              <w:t>informa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inadecvate sau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nșel</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toare privind riscul financiar al produselor v</w:t>
            </w:r>
            <w:r w:rsidRPr="00D96752">
              <w:rPr>
                <w:rFonts w:ascii="Times New Roman" w:hAnsi="Times New Roman" w:cs="Times New Roman" w:hint="eastAsia"/>
                <w:bCs/>
                <w:color w:val="000000" w:themeColor="text1"/>
                <w:lang w:val="ro-MD"/>
              </w:rPr>
              <w:t>â</w:t>
            </w:r>
            <w:r w:rsidRPr="00D96752">
              <w:rPr>
                <w:rFonts w:ascii="Times New Roman" w:hAnsi="Times New Roman" w:cs="Times New Roman"/>
                <w:bCs/>
                <w:color w:val="000000" w:themeColor="text1"/>
                <w:lang w:val="ro-MD"/>
              </w:rPr>
              <w:t xml:space="preserve">ndute de </w:t>
            </w:r>
            <w:r w:rsidR="00DE21DF" w:rsidRPr="00D96752">
              <w:rPr>
                <w:rFonts w:ascii="Times New Roman" w:hAnsi="Times New Roman" w:cs="Times New Roman"/>
                <w:bCs/>
                <w:color w:val="000000" w:themeColor="text1"/>
                <w:lang w:val="ro-MD"/>
              </w:rPr>
              <w:t>bancă</w:t>
            </w:r>
            <w:r w:rsidRPr="00D96752">
              <w:rPr>
                <w:rFonts w:ascii="Times New Roman" w:hAnsi="Times New Roman" w:cs="Times New Roman"/>
                <w:bCs/>
                <w:color w:val="000000" w:themeColor="text1"/>
                <w:lang w:val="ro-MD"/>
              </w:rPr>
              <w:t>;</w:t>
            </w:r>
          </w:p>
          <w:p w14:paraId="7EACAF7A" w14:textId="42018C4D"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e) nerespectarea oric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rei </w:t>
            </w:r>
            <w:proofErr w:type="spellStart"/>
            <w:r w:rsidRPr="00D96752">
              <w:rPr>
                <w:rFonts w:ascii="Times New Roman" w:hAnsi="Times New Roman" w:cs="Times New Roman"/>
                <w:bCs/>
                <w:color w:val="000000" w:themeColor="text1"/>
                <w:lang w:val="ro-MD"/>
              </w:rPr>
              <w:t>cerin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e</w:t>
            </w:r>
            <w:proofErr w:type="spellEnd"/>
            <w:r w:rsidRPr="00D96752">
              <w:rPr>
                <w:rFonts w:ascii="Times New Roman" w:hAnsi="Times New Roman" w:cs="Times New Roman"/>
                <w:bCs/>
                <w:color w:val="000000" w:themeColor="text1"/>
                <w:lang w:val="ro-MD"/>
              </w:rPr>
              <w:t xml:space="preserve"> derivate din </w:t>
            </w:r>
            <w:proofErr w:type="spellStart"/>
            <w:r w:rsidRPr="00D96752">
              <w:rPr>
                <w:rFonts w:ascii="Times New Roman" w:hAnsi="Times New Roman" w:cs="Times New Roman"/>
                <w:bCs/>
                <w:color w:val="000000" w:themeColor="text1"/>
                <w:lang w:val="ro-MD"/>
              </w:rPr>
              <w:t>dispozi</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iile</w:t>
            </w:r>
            <w:proofErr w:type="spellEnd"/>
            <w:r w:rsidRPr="00D96752">
              <w:rPr>
                <w:rFonts w:ascii="Times New Roman" w:hAnsi="Times New Roman" w:cs="Times New Roman"/>
                <w:bCs/>
                <w:color w:val="000000" w:themeColor="text1"/>
                <w:lang w:val="ro-MD"/>
              </w:rPr>
              <w:t xml:space="preserve"> statutare sau legislative </w:t>
            </w:r>
            <w:proofErr w:type="spellStart"/>
            <w:r w:rsidRPr="00D96752">
              <w:rPr>
                <w:rFonts w:ascii="Times New Roman" w:hAnsi="Times New Roman" w:cs="Times New Roman"/>
                <w:bCs/>
                <w:color w:val="000000" w:themeColor="text1"/>
                <w:lang w:val="ro-MD"/>
              </w:rPr>
              <w:t>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 xml:space="preserve"> sau </w:t>
            </w:r>
            <w:proofErr w:type="spellStart"/>
            <w:r w:rsidRPr="00D96752">
              <w:rPr>
                <w:rFonts w:ascii="Times New Roman" w:hAnsi="Times New Roman" w:cs="Times New Roman"/>
                <w:bCs/>
                <w:color w:val="000000" w:themeColor="text1"/>
                <w:lang w:val="ro-MD"/>
              </w:rPr>
              <w:t>interna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w:t>
            </w:r>
          </w:p>
          <w:p w14:paraId="1BE2AD6E" w14:textId="507033D3"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 nerespectarea oric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rei </w:t>
            </w:r>
            <w:proofErr w:type="spellStart"/>
            <w:r w:rsidRPr="00D96752">
              <w:rPr>
                <w:rFonts w:ascii="Times New Roman" w:hAnsi="Times New Roman" w:cs="Times New Roman"/>
                <w:bCs/>
                <w:color w:val="000000" w:themeColor="text1"/>
                <w:lang w:val="ro-MD"/>
              </w:rPr>
              <w:t>cerin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e</w:t>
            </w:r>
            <w:proofErr w:type="spellEnd"/>
            <w:r w:rsidRPr="00D96752">
              <w:rPr>
                <w:rFonts w:ascii="Times New Roman" w:hAnsi="Times New Roman" w:cs="Times New Roman"/>
                <w:bCs/>
                <w:color w:val="000000" w:themeColor="text1"/>
                <w:lang w:val="ro-MD"/>
              </w:rPr>
              <w:t xml:space="preserve"> derivate din acorduri</w:t>
            </w:r>
            <w:r w:rsidR="002843DF"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contractuale sau a unor norme interne și coduri de conduit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stabilite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conformitate cu normele și practicile </w:t>
            </w:r>
            <w:proofErr w:type="spellStart"/>
            <w:r w:rsidRPr="00D96752">
              <w:rPr>
                <w:rFonts w:ascii="Times New Roman" w:hAnsi="Times New Roman" w:cs="Times New Roman"/>
                <w:bCs/>
                <w:color w:val="000000" w:themeColor="text1"/>
                <w:lang w:val="ro-MD"/>
              </w:rPr>
              <w:t>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 xml:space="preserve"> sau </w:t>
            </w:r>
            <w:proofErr w:type="spellStart"/>
            <w:r w:rsidRPr="00D96752">
              <w:rPr>
                <w:rFonts w:ascii="Times New Roman" w:hAnsi="Times New Roman" w:cs="Times New Roman"/>
                <w:bCs/>
                <w:color w:val="000000" w:themeColor="text1"/>
                <w:lang w:val="ro-MD"/>
              </w:rPr>
              <w:t>interna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w:t>
            </w:r>
          </w:p>
          <w:p w14:paraId="67DF9742" w14:textId="7B80F4EC"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g) nerespectarea normelor de etic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w:t>
            </w:r>
            <w:bookmarkEnd w:id="6"/>
          </w:p>
        </w:tc>
        <w:tc>
          <w:tcPr>
            <w:tcW w:w="580" w:type="pct"/>
          </w:tcPr>
          <w:p w14:paraId="07BAA51C" w14:textId="2AE92B6E" w:rsidR="003A6646" w:rsidRPr="00D96752" w:rsidRDefault="00B56D05"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1E5CC664" w14:textId="6FC8D568" w:rsidR="003A6646" w:rsidRPr="00D96752" w:rsidRDefault="00AE05A4"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Introdus în Regulamentul nr.322/2018 privind cadrul de administrare a </w:t>
            </w:r>
            <w:proofErr w:type="spellStart"/>
            <w:r w:rsidRPr="00D96752">
              <w:rPr>
                <w:rFonts w:ascii="Times New Roman" w:hAnsi="Times New Roman" w:cs="Times New Roman"/>
                <w:bCs/>
                <w:color w:val="000000" w:themeColor="text1"/>
                <w:lang w:val="ro-MD"/>
              </w:rPr>
              <w:t>activităţii</w:t>
            </w:r>
            <w:proofErr w:type="spellEnd"/>
            <w:r w:rsidRPr="00D96752">
              <w:rPr>
                <w:rFonts w:ascii="Times New Roman" w:hAnsi="Times New Roman" w:cs="Times New Roman"/>
                <w:bCs/>
                <w:color w:val="000000" w:themeColor="text1"/>
                <w:lang w:val="ro-MD"/>
              </w:rPr>
              <w:t xml:space="preserve"> băncilor</w:t>
            </w:r>
          </w:p>
        </w:tc>
      </w:tr>
      <w:tr w:rsidR="00BD2354" w:rsidRPr="00D96752" w14:paraId="01938B8A"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3F9F576" w14:textId="77777777" w:rsidR="00BD2354" w:rsidRPr="00D96752" w:rsidRDefault="00BD235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52b. „risc de model”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 </w:t>
            </w:r>
            <w:r w:rsidRPr="00D96752">
              <w:rPr>
                <w:rFonts w:ascii="Times New Roman" w:hAnsi="Times New Roman" w:cs="Times New Roman"/>
                <w:bCs/>
                <w:color w:val="000000" w:themeColor="text1"/>
                <w:lang w:val="ro-MD"/>
              </w:rPr>
              <w:lastRenderedPageBreak/>
              <w:t xml:space="preserve">(a) elaborarea necorespunzătoare a modelului intern ales și a caracteristicilor sale; </w:t>
            </w:r>
          </w:p>
          <w:p w14:paraId="2370319F" w14:textId="77777777" w:rsidR="00BD2354" w:rsidRPr="00D96752" w:rsidRDefault="00BD235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(b) verificarea necorespunzătoare a caracterului adecvat al modelului intern ales în ceea ce privește instrumentul financiar care trebuie evaluat sau produsul căruia trebuie să i se stabilească un </w:t>
            </w:r>
            <w:proofErr w:type="spellStart"/>
            <w:r w:rsidRPr="00D96752">
              <w:rPr>
                <w:rFonts w:ascii="Times New Roman" w:hAnsi="Times New Roman" w:cs="Times New Roman"/>
                <w:bCs/>
                <w:color w:val="000000" w:themeColor="text1"/>
                <w:lang w:val="ro-MD"/>
              </w:rPr>
              <w:t>preţ</w:t>
            </w:r>
            <w:proofErr w:type="spellEnd"/>
            <w:r w:rsidRPr="00D96752">
              <w:rPr>
                <w:rFonts w:ascii="Times New Roman" w:hAnsi="Times New Roman" w:cs="Times New Roman"/>
                <w:bCs/>
                <w:color w:val="000000" w:themeColor="text1"/>
                <w:lang w:val="ro-MD"/>
              </w:rPr>
              <w:t xml:space="preserve"> ori a caracterului adecvat al modelului intern ales pentru </w:t>
            </w:r>
            <w:proofErr w:type="spellStart"/>
            <w:r w:rsidRPr="00D96752">
              <w:rPr>
                <w:rFonts w:ascii="Times New Roman" w:hAnsi="Times New Roman" w:cs="Times New Roman"/>
                <w:bCs/>
                <w:color w:val="000000" w:themeColor="text1"/>
                <w:lang w:val="ro-MD"/>
              </w:rPr>
              <w:t>condiţiile</w:t>
            </w:r>
            <w:proofErr w:type="spellEnd"/>
            <w:r w:rsidRPr="00D96752">
              <w:rPr>
                <w:rFonts w:ascii="Times New Roman" w:hAnsi="Times New Roman" w:cs="Times New Roman"/>
                <w:bCs/>
                <w:color w:val="000000" w:themeColor="text1"/>
                <w:lang w:val="ro-MD"/>
              </w:rPr>
              <w:t xml:space="preserve"> de </w:t>
            </w:r>
            <w:proofErr w:type="spellStart"/>
            <w:r w:rsidRPr="00D96752">
              <w:rPr>
                <w:rFonts w:ascii="Times New Roman" w:hAnsi="Times New Roman" w:cs="Times New Roman"/>
                <w:bCs/>
                <w:color w:val="000000" w:themeColor="text1"/>
                <w:lang w:val="ro-MD"/>
              </w:rPr>
              <w:t>piaţă</w:t>
            </w:r>
            <w:proofErr w:type="spellEnd"/>
            <w:r w:rsidRPr="00D96752">
              <w:rPr>
                <w:rFonts w:ascii="Times New Roman" w:hAnsi="Times New Roman" w:cs="Times New Roman"/>
                <w:bCs/>
                <w:color w:val="000000" w:themeColor="text1"/>
                <w:lang w:val="ro-MD"/>
              </w:rPr>
              <w:t xml:space="preserve"> aplicabile; </w:t>
            </w:r>
          </w:p>
          <w:p w14:paraId="71BFBBB5" w14:textId="77777777" w:rsidR="00BD2354" w:rsidRPr="00D96752" w:rsidRDefault="00BD235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(c) erorile în punerea în aplicare a modelului intern ales; </w:t>
            </w:r>
          </w:p>
          <w:p w14:paraId="59AE5165" w14:textId="77777777" w:rsidR="00BD2354" w:rsidRPr="00D96752" w:rsidRDefault="00BD235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(d) evaluările incorecte la </w:t>
            </w:r>
            <w:proofErr w:type="spellStart"/>
            <w:r w:rsidRPr="00D96752">
              <w:rPr>
                <w:rFonts w:ascii="Times New Roman" w:hAnsi="Times New Roman" w:cs="Times New Roman"/>
                <w:bCs/>
                <w:color w:val="000000" w:themeColor="text1"/>
                <w:lang w:val="ro-MD"/>
              </w:rPr>
              <w:t>preţul</w:t>
            </w:r>
            <w:proofErr w:type="spell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pieţei</w:t>
            </w:r>
            <w:proofErr w:type="spellEnd"/>
            <w:r w:rsidRPr="00D96752">
              <w:rPr>
                <w:rFonts w:ascii="Times New Roman" w:hAnsi="Times New Roman" w:cs="Times New Roman"/>
                <w:bCs/>
                <w:color w:val="000000" w:themeColor="text1"/>
                <w:lang w:val="ro-MD"/>
              </w:rPr>
              <w:t xml:space="preserve"> și măsurarea incorectă a riscului ca urmare a unei erori în momentul înregistrării unei </w:t>
            </w:r>
            <w:proofErr w:type="spellStart"/>
            <w:r w:rsidRPr="00D96752">
              <w:rPr>
                <w:rFonts w:ascii="Times New Roman" w:hAnsi="Times New Roman" w:cs="Times New Roman"/>
                <w:bCs/>
                <w:color w:val="000000" w:themeColor="text1"/>
                <w:lang w:val="ro-MD"/>
              </w:rPr>
              <w:t>tranzacţii</w:t>
            </w:r>
            <w:proofErr w:type="spellEnd"/>
            <w:r w:rsidRPr="00D96752">
              <w:rPr>
                <w:rFonts w:ascii="Times New Roman" w:hAnsi="Times New Roman" w:cs="Times New Roman"/>
                <w:bCs/>
                <w:color w:val="000000" w:themeColor="text1"/>
                <w:lang w:val="ro-MD"/>
              </w:rPr>
              <w:t xml:space="preserve"> în sistemul de </w:t>
            </w:r>
            <w:proofErr w:type="spellStart"/>
            <w:r w:rsidRPr="00D96752">
              <w:rPr>
                <w:rFonts w:ascii="Times New Roman" w:hAnsi="Times New Roman" w:cs="Times New Roman"/>
                <w:bCs/>
                <w:color w:val="000000" w:themeColor="text1"/>
                <w:lang w:val="ro-MD"/>
              </w:rPr>
              <w:t>tranzacţionare</w:t>
            </w:r>
            <w:proofErr w:type="spellEnd"/>
            <w:r w:rsidRPr="00D96752">
              <w:rPr>
                <w:rFonts w:ascii="Times New Roman" w:hAnsi="Times New Roman" w:cs="Times New Roman"/>
                <w:bCs/>
                <w:color w:val="000000" w:themeColor="text1"/>
                <w:lang w:val="ro-MD"/>
              </w:rPr>
              <w:t xml:space="preserve">; </w:t>
            </w:r>
          </w:p>
          <w:p w14:paraId="2776E588" w14:textId="77777777" w:rsidR="00BD2354" w:rsidRPr="00D96752" w:rsidRDefault="00BD235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(e) utilizarea modelului intern ales sau a rezultatelor acestuia într-un scop pentru care modelul respectiv nu a fost conceput sau căruia nu îi era destinat, inclusiv manipularea parametrilor de modelare; </w:t>
            </w:r>
          </w:p>
          <w:p w14:paraId="1A58128C" w14:textId="77777777" w:rsidR="00BD2354" w:rsidRPr="00D96752" w:rsidRDefault="00BD235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(f) monitorizarea sau validarea tardivă sau ineficace a </w:t>
            </w:r>
            <w:proofErr w:type="spellStart"/>
            <w:r w:rsidRPr="00D96752">
              <w:rPr>
                <w:rFonts w:ascii="Times New Roman" w:hAnsi="Times New Roman" w:cs="Times New Roman"/>
                <w:bCs/>
                <w:color w:val="000000" w:themeColor="text1"/>
                <w:lang w:val="ro-MD"/>
              </w:rPr>
              <w:t>perfor</w:t>
            </w:r>
            <w:proofErr w:type="spell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manţei</w:t>
            </w:r>
            <w:proofErr w:type="spellEnd"/>
            <w:r w:rsidRPr="00D96752">
              <w:rPr>
                <w:rFonts w:ascii="Times New Roman" w:hAnsi="Times New Roman" w:cs="Times New Roman"/>
                <w:bCs/>
                <w:color w:val="000000" w:themeColor="text1"/>
                <w:lang w:val="ro-MD"/>
              </w:rPr>
              <w:t xml:space="preserve"> modelului sau a </w:t>
            </w:r>
            <w:proofErr w:type="spellStart"/>
            <w:r w:rsidRPr="00D96752">
              <w:rPr>
                <w:rFonts w:ascii="Times New Roman" w:hAnsi="Times New Roman" w:cs="Times New Roman"/>
                <w:bCs/>
                <w:color w:val="000000" w:themeColor="text1"/>
                <w:lang w:val="ro-MD"/>
              </w:rPr>
              <w:t>capacităţii</w:t>
            </w:r>
            <w:proofErr w:type="spellEnd"/>
            <w:r w:rsidRPr="00D96752">
              <w:rPr>
                <w:rFonts w:ascii="Times New Roman" w:hAnsi="Times New Roman" w:cs="Times New Roman"/>
                <w:bCs/>
                <w:color w:val="000000" w:themeColor="text1"/>
                <w:lang w:val="ro-MD"/>
              </w:rPr>
              <w:t xml:space="preserve"> predictive de a evalua dacă modelul intern ales este în continuare adecvat scopului;</w:t>
            </w:r>
          </w:p>
          <w:p w14:paraId="07EB0893" w14:textId="37DFFE69" w:rsidR="00191B09" w:rsidRPr="00D96752" w:rsidRDefault="00191B09" w:rsidP="00191B0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(g) nerespectarea normelor de etică.</w:t>
            </w:r>
          </w:p>
          <w:p w14:paraId="4859F649" w14:textId="07F6F08C" w:rsidR="00191B09" w:rsidRPr="00D96752" w:rsidRDefault="00191B09" w:rsidP="0005424B">
            <w:pPr>
              <w:spacing w:after="0" w:line="276" w:lineRule="auto"/>
              <w:jc w:val="both"/>
              <w:rPr>
                <w:rFonts w:ascii="Times New Roman" w:hAnsi="Times New Roman" w:cs="Times New Roman"/>
                <w:bCs/>
                <w:color w:val="000000" w:themeColor="text1"/>
                <w:lang w:val="ro-RO"/>
              </w:rPr>
            </w:pPr>
          </w:p>
        </w:tc>
        <w:tc>
          <w:tcPr>
            <w:tcW w:w="1588" w:type="pct"/>
            <w:shd w:val="clear" w:color="auto" w:fill="auto"/>
          </w:tcPr>
          <w:p w14:paraId="1EEE087B" w14:textId="0D92FF36" w:rsidR="00B052FA" w:rsidRPr="00D96752" w:rsidRDefault="005A0034" w:rsidP="00B052F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w:t>
            </w:r>
            <w:r w:rsidR="00B052FA" w:rsidRPr="00D96752">
              <w:rPr>
                <w:rFonts w:ascii="Times New Roman" w:hAnsi="Times New Roman" w:cs="Times New Roman"/>
                <w:bCs/>
                <w:color w:val="000000" w:themeColor="text1"/>
                <w:lang w:val="ro-MD"/>
              </w:rPr>
              <w:t xml:space="preserve">. Regulamentul privind cadrul de administrare a </w:t>
            </w:r>
            <w:proofErr w:type="spellStart"/>
            <w:r w:rsidR="00B052FA" w:rsidRPr="00D96752">
              <w:rPr>
                <w:rFonts w:ascii="Times New Roman" w:hAnsi="Times New Roman" w:cs="Times New Roman"/>
                <w:bCs/>
                <w:color w:val="000000" w:themeColor="text1"/>
                <w:lang w:val="ro-MD"/>
              </w:rPr>
              <w:t>activităţii</w:t>
            </w:r>
            <w:proofErr w:type="spellEnd"/>
            <w:r w:rsidR="00B052FA" w:rsidRPr="00D96752">
              <w:rPr>
                <w:rFonts w:ascii="Times New Roman" w:hAnsi="Times New Roman" w:cs="Times New Roman"/>
                <w:bCs/>
                <w:color w:val="000000" w:themeColor="text1"/>
                <w:lang w:val="ro-MD"/>
              </w:rPr>
              <w:t xml:space="preserve"> băncilor, aprobat prin Hotărârea Comitetului executiv al Băncii Naționale a Moldovei nr.322/2018 (Monitorul Oficial al Republicii Moldova, 2019, nr.1-5, art.56), înregistrat la Ministerul Justiției al Republicii Moldova cu nr.1400/2018</w:t>
            </w:r>
            <w:r w:rsidRPr="00D96752">
              <w:rPr>
                <w:rFonts w:ascii="Times New Roman" w:hAnsi="Times New Roman" w:cs="Times New Roman"/>
                <w:bCs/>
                <w:color w:val="000000" w:themeColor="text1"/>
                <w:lang w:val="ro-MD"/>
              </w:rPr>
              <w:t>, se modifică după cum urmează</w:t>
            </w:r>
            <w:r w:rsidR="00B052FA" w:rsidRPr="00D96752">
              <w:rPr>
                <w:rFonts w:ascii="Times New Roman" w:hAnsi="Times New Roman" w:cs="Times New Roman"/>
                <w:bCs/>
                <w:color w:val="000000" w:themeColor="text1"/>
                <w:lang w:val="ro-MD"/>
              </w:rPr>
              <w:t>:</w:t>
            </w:r>
          </w:p>
          <w:p w14:paraId="2CC80E82" w14:textId="11B650A0" w:rsidR="00B052FA" w:rsidRPr="00D96752" w:rsidRDefault="005A0034" w:rsidP="00B052F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w:t>
            </w:r>
            <w:r w:rsidR="00B052FA" w:rsidRPr="00D96752">
              <w:rPr>
                <w:rFonts w:ascii="Times New Roman" w:hAnsi="Times New Roman" w:cs="Times New Roman"/>
                <w:bCs/>
                <w:color w:val="000000" w:themeColor="text1"/>
                <w:lang w:val="ro-MD"/>
              </w:rPr>
              <w:t>.1.</w:t>
            </w:r>
            <w:r w:rsidR="00B052FA" w:rsidRPr="00D96752">
              <w:rPr>
                <w:rFonts w:ascii="Times New Roman" w:hAnsi="Times New Roman" w:cs="Times New Roman"/>
                <w:bCs/>
                <w:color w:val="000000" w:themeColor="text1"/>
                <w:lang w:val="ro-MD"/>
              </w:rPr>
              <w:tab/>
            </w:r>
            <w:r w:rsidRPr="00D96752">
              <w:rPr>
                <w:rFonts w:ascii="Times New Roman" w:hAnsi="Times New Roman" w:cs="Times New Roman"/>
                <w:bCs/>
                <w:color w:val="000000" w:themeColor="text1"/>
                <w:lang w:val="ro-MD"/>
              </w:rPr>
              <w:t>La</w:t>
            </w:r>
            <w:r w:rsidR="00B052FA" w:rsidRPr="00D96752">
              <w:rPr>
                <w:rFonts w:ascii="Times New Roman" w:hAnsi="Times New Roman" w:cs="Times New Roman"/>
                <w:bCs/>
                <w:color w:val="000000" w:themeColor="text1"/>
                <w:lang w:val="ro-MD"/>
              </w:rPr>
              <w:t xml:space="preserve"> pct.4: </w:t>
            </w:r>
          </w:p>
          <w:p w14:paraId="06DCE10F" w14:textId="0F76D82D" w:rsidR="00191B09" w:rsidRPr="00D96752" w:rsidRDefault="00191B09" w:rsidP="00B052F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w:t>
            </w:r>
          </w:p>
          <w:p w14:paraId="4E827C61" w14:textId="1FA2BBAF" w:rsidR="00B052FA" w:rsidRPr="00D96752" w:rsidRDefault="005A003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B052FA" w:rsidRPr="00D96752">
              <w:rPr>
                <w:rFonts w:ascii="Times New Roman" w:hAnsi="Times New Roman" w:cs="Times New Roman"/>
                <w:bCs/>
                <w:color w:val="000000" w:themeColor="text1"/>
                <w:lang w:val="ro-MD"/>
              </w:rPr>
              <w:t>.1.3.</w:t>
            </w:r>
            <w:r w:rsidR="00B052FA" w:rsidRPr="00D96752">
              <w:rPr>
                <w:rFonts w:ascii="Times New Roman" w:hAnsi="Times New Roman" w:cs="Times New Roman"/>
                <w:bCs/>
                <w:color w:val="000000" w:themeColor="text1"/>
                <w:lang w:val="ro-MD"/>
              </w:rPr>
              <w:tab/>
              <w:t>după definiția „risc de lichiditate” se introduce definiția „„risc de model”  cu următorul conținut:</w:t>
            </w:r>
          </w:p>
          <w:p w14:paraId="39968849" w14:textId="3C87EDAF" w:rsidR="00DE21DF" w:rsidRPr="00D96752" w:rsidRDefault="00BD2354" w:rsidP="00BD2354">
            <w:pPr>
              <w:spacing w:after="0" w:line="276" w:lineRule="auto"/>
              <w:jc w:val="both"/>
              <w:rPr>
                <w:rFonts w:ascii="Times New Roman" w:hAnsi="Times New Roman" w:cs="Times New Roman"/>
                <w:bCs/>
                <w:color w:val="000000" w:themeColor="text1"/>
                <w:lang w:val="ro-MD"/>
              </w:rPr>
            </w:pPr>
            <w:bookmarkStart w:id="7" w:name="_Hlk193444275"/>
            <w:r w:rsidRPr="00D96752">
              <w:rPr>
                <w:rFonts w:ascii="Times New Roman" w:hAnsi="Times New Roman" w:cs="Times New Roman"/>
                <w:bCs/>
                <w:color w:val="000000" w:themeColor="text1"/>
                <w:lang w:val="ro-MD"/>
              </w:rPr>
              <w:t xml:space="preserve">„risc de model”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 </w:t>
            </w:r>
          </w:p>
          <w:p w14:paraId="63ADDCCC" w14:textId="45B638ED" w:rsidR="00BD2354" w:rsidRPr="00D96752" w:rsidRDefault="00BD235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a) elaborarea necorespunzătoare a modelului intern ales și a caracteristicilor sale; </w:t>
            </w:r>
          </w:p>
          <w:p w14:paraId="1FFC6AE8" w14:textId="7AB2BA94" w:rsidR="00BD2354" w:rsidRPr="00D96752" w:rsidRDefault="00BD235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b) verificarea necorespunzătoare a caracterului adecvat al modelului intern ales în ceea ce privește instrumentul financiar care trebuie evaluat sau produsul căruia trebuie să i se stabilească un </w:t>
            </w:r>
            <w:proofErr w:type="spellStart"/>
            <w:r w:rsidRPr="00D96752">
              <w:rPr>
                <w:rFonts w:ascii="Times New Roman" w:hAnsi="Times New Roman" w:cs="Times New Roman"/>
                <w:bCs/>
                <w:color w:val="000000" w:themeColor="text1"/>
                <w:lang w:val="ro-MD"/>
              </w:rPr>
              <w:t>preţ</w:t>
            </w:r>
            <w:proofErr w:type="spellEnd"/>
            <w:r w:rsidRPr="00D96752">
              <w:rPr>
                <w:rFonts w:ascii="Times New Roman" w:hAnsi="Times New Roman" w:cs="Times New Roman"/>
                <w:bCs/>
                <w:color w:val="000000" w:themeColor="text1"/>
                <w:lang w:val="ro-MD"/>
              </w:rPr>
              <w:t xml:space="preserve"> ori a caracterului adecvat al modelului intern ales pentru </w:t>
            </w:r>
            <w:proofErr w:type="spellStart"/>
            <w:r w:rsidRPr="00D96752">
              <w:rPr>
                <w:rFonts w:ascii="Times New Roman" w:hAnsi="Times New Roman" w:cs="Times New Roman"/>
                <w:bCs/>
                <w:color w:val="000000" w:themeColor="text1"/>
                <w:lang w:val="ro-MD"/>
              </w:rPr>
              <w:t>condiţiile</w:t>
            </w:r>
            <w:proofErr w:type="spellEnd"/>
            <w:r w:rsidRPr="00D96752">
              <w:rPr>
                <w:rFonts w:ascii="Times New Roman" w:hAnsi="Times New Roman" w:cs="Times New Roman"/>
                <w:bCs/>
                <w:color w:val="000000" w:themeColor="text1"/>
                <w:lang w:val="ro-MD"/>
              </w:rPr>
              <w:t xml:space="preserve"> de </w:t>
            </w:r>
            <w:proofErr w:type="spellStart"/>
            <w:r w:rsidRPr="00D96752">
              <w:rPr>
                <w:rFonts w:ascii="Times New Roman" w:hAnsi="Times New Roman" w:cs="Times New Roman"/>
                <w:bCs/>
                <w:color w:val="000000" w:themeColor="text1"/>
                <w:lang w:val="ro-MD"/>
              </w:rPr>
              <w:t>piaţă</w:t>
            </w:r>
            <w:proofErr w:type="spellEnd"/>
            <w:r w:rsidRPr="00D96752">
              <w:rPr>
                <w:rFonts w:ascii="Times New Roman" w:hAnsi="Times New Roman" w:cs="Times New Roman"/>
                <w:bCs/>
                <w:color w:val="000000" w:themeColor="text1"/>
                <w:lang w:val="ro-MD"/>
              </w:rPr>
              <w:t xml:space="preserve"> aplicabile; </w:t>
            </w:r>
          </w:p>
          <w:p w14:paraId="319E163B" w14:textId="35ACC1D8" w:rsidR="00BD2354" w:rsidRPr="00D96752" w:rsidRDefault="00BD235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c) erorile în punerea în aplicare a modelului intern ales; </w:t>
            </w:r>
          </w:p>
          <w:p w14:paraId="18C7A802" w14:textId="3F953B88" w:rsidR="00BD2354" w:rsidRPr="00D96752" w:rsidRDefault="00BD235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d) evaluările incorecte la </w:t>
            </w:r>
            <w:proofErr w:type="spellStart"/>
            <w:r w:rsidRPr="00D96752">
              <w:rPr>
                <w:rFonts w:ascii="Times New Roman" w:hAnsi="Times New Roman" w:cs="Times New Roman"/>
                <w:bCs/>
                <w:color w:val="000000" w:themeColor="text1"/>
                <w:lang w:val="ro-MD"/>
              </w:rPr>
              <w:t>preţul</w:t>
            </w:r>
            <w:proofErr w:type="spellEnd"/>
            <w:r w:rsidRPr="00D96752">
              <w:rPr>
                <w:rFonts w:ascii="Times New Roman" w:hAnsi="Times New Roman" w:cs="Times New Roman"/>
                <w:bCs/>
                <w:color w:val="000000" w:themeColor="text1"/>
                <w:lang w:val="ro-MD"/>
              </w:rPr>
              <w:t xml:space="preserve"> </w:t>
            </w:r>
            <w:proofErr w:type="spellStart"/>
            <w:r w:rsidRPr="00D96752">
              <w:rPr>
                <w:rFonts w:ascii="Times New Roman" w:hAnsi="Times New Roman" w:cs="Times New Roman"/>
                <w:bCs/>
                <w:color w:val="000000" w:themeColor="text1"/>
                <w:lang w:val="ro-MD"/>
              </w:rPr>
              <w:t>pieţei</w:t>
            </w:r>
            <w:proofErr w:type="spellEnd"/>
            <w:r w:rsidRPr="00D96752">
              <w:rPr>
                <w:rFonts w:ascii="Times New Roman" w:hAnsi="Times New Roman" w:cs="Times New Roman"/>
                <w:bCs/>
                <w:color w:val="000000" w:themeColor="text1"/>
                <w:lang w:val="ro-MD"/>
              </w:rPr>
              <w:t xml:space="preserve"> și măsurarea incorectă a riscului ca urmare a unei erori în momentul înregistrării unei </w:t>
            </w:r>
            <w:proofErr w:type="spellStart"/>
            <w:r w:rsidRPr="00D96752">
              <w:rPr>
                <w:rFonts w:ascii="Times New Roman" w:hAnsi="Times New Roman" w:cs="Times New Roman"/>
                <w:bCs/>
                <w:color w:val="000000" w:themeColor="text1"/>
                <w:lang w:val="ro-MD"/>
              </w:rPr>
              <w:t>tranzacţii</w:t>
            </w:r>
            <w:proofErr w:type="spellEnd"/>
            <w:r w:rsidRPr="00D96752">
              <w:rPr>
                <w:rFonts w:ascii="Times New Roman" w:hAnsi="Times New Roman" w:cs="Times New Roman"/>
                <w:bCs/>
                <w:color w:val="000000" w:themeColor="text1"/>
                <w:lang w:val="ro-MD"/>
              </w:rPr>
              <w:t xml:space="preserve"> în sistemul de </w:t>
            </w:r>
            <w:proofErr w:type="spellStart"/>
            <w:r w:rsidRPr="00D96752">
              <w:rPr>
                <w:rFonts w:ascii="Times New Roman" w:hAnsi="Times New Roman" w:cs="Times New Roman"/>
                <w:bCs/>
                <w:color w:val="000000" w:themeColor="text1"/>
                <w:lang w:val="ro-MD"/>
              </w:rPr>
              <w:t>tranzacţionare</w:t>
            </w:r>
            <w:proofErr w:type="spellEnd"/>
            <w:r w:rsidRPr="00D96752">
              <w:rPr>
                <w:rFonts w:ascii="Times New Roman" w:hAnsi="Times New Roman" w:cs="Times New Roman"/>
                <w:bCs/>
                <w:color w:val="000000" w:themeColor="text1"/>
                <w:lang w:val="ro-MD"/>
              </w:rPr>
              <w:t xml:space="preserve">; </w:t>
            </w:r>
          </w:p>
          <w:p w14:paraId="3E850EA6" w14:textId="5B19B5DC" w:rsidR="00BD2354" w:rsidRPr="00D96752" w:rsidRDefault="00BD235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e) utilizarea modelului intern ales sau a rezultatelor acestuia într-un scop pentru care modelul respectiv nu </w:t>
            </w:r>
            <w:r w:rsidRPr="00D96752">
              <w:rPr>
                <w:rFonts w:ascii="Times New Roman" w:hAnsi="Times New Roman" w:cs="Times New Roman"/>
                <w:bCs/>
                <w:color w:val="000000" w:themeColor="text1"/>
                <w:lang w:val="ro-MD"/>
              </w:rPr>
              <w:lastRenderedPageBreak/>
              <w:t xml:space="preserve">a fost conceput sau căruia nu îi era destinat, inclusiv manipularea parametrilor de modelare; </w:t>
            </w:r>
          </w:p>
          <w:p w14:paraId="44FFB3C8" w14:textId="04629084" w:rsidR="00BD2354" w:rsidRPr="00D96752" w:rsidRDefault="00BD2354" w:rsidP="00BD235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f) monitorizarea sau validarea tardivă sau ineficace a </w:t>
            </w:r>
            <w:r w:rsidR="00DE21DF" w:rsidRPr="00D96752">
              <w:rPr>
                <w:rFonts w:ascii="Times New Roman" w:hAnsi="Times New Roman" w:cs="Times New Roman"/>
                <w:bCs/>
                <w:color w:val="000000" w:themeColor="text1"/>
                <w:lang w:val="ro-MD"/>
              </w:rPr>
              <w:t>performanței</w:t>
            </w:r>
            <w:r w:rsidRPr="00D96752">
              <w:rPr>
                <w:rFonts w:ascii="Times New Roman" w:hAnsi="Times New Roman" w:cs="Times New Roman"/>
                <w:bCs/>
                <w:color w:val="000000" w:themeColor="text1"/>
                <w:lang w:val="ro-MD"/>
              </w:rPr>
              <w:t xml:space="preserve"> modelului sau a </w:t>
            </w:r>
            <w:proofErr w:type="spellStart"/>
            <w:r w:rsidRPr="00D96752">
              <w:rPr>
                <w:rFonts w:ascii="Times New Roman" w:hAnsi="Times New Roman" w:cs="Times New Roman"/>
                <w:bCs/>
                <w:color w:val="000000" w:themeColor="text1"/>
                <w:lang w:val="ro-MD"/>
              </w:rPr>
              <w:t>capacităţii</w:t>
            </w:r>
            <w:proofErr w:type="spellEnd"/>
            <w:r w:rsidRPr="00D96752">
              <w:rPr>
                <w:rFonts w:ascii="Times New Roman" w:hAnsi="Times New Roman" w:cs="Times New Roman"/>
                <w:bCs/>
                <w:color w:val="000000" w:themeColor="text1"/>
                <w:lang w:val="ro-MD"/>
              </w:rPr>
              <w:t xml:space="preserve"> predictive de a evalua dacă modelul intern ales este în continuare adecvat scopului;</w:t>
            </w:r>
            <w:bookmarkEnd w:id="7"/>
          </w:p>
          <w:p w14:paraId="3E4A3C5D" w14:textId="5DD1BA94" w:rsidR="00191B09" w:rsidRPr="00D96752" w:rsidDel="00567C92" w:rsidRDefault="00191B09" w:rsidP="0005424B">
            <w:pPr>
              <w:spacing w:after="0" w:line="276" w:lineRule="auto"/>
              <w:jc w:val="both"/>
              <w:rPr>
                <w:rFonts w:ascii="Times New Roman" w:hAnsi="Times New Roman" w:cs="Times New Roman"/>
                <w:bCs/>
                <w:color w:val="000000" w:themeColor="text1"/>
                <w:lang w:val="ro-RO"/>
              </w:rPr>
            </w:pPr>
            <w:r w:rsidRPr="00D96752">
              <w:rPr>
                <w:rFonts w:ascii="Times New Roman" w:hAnsi="Times New Roman" w:cs="Times New Roman"/>
                <w:bCs/>
                <w:color w:val="000000" w:themeColor="text1"/>
                <w:lang w:val="ro-MD"/>
              </w:rPr>
              <w:t>g) nerespectarea normelor de etic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w:t>
            </w:r>
          </w:p>
        </w:tc>
        <w:tc>
          <w:tcPr>
            <w:tcW w:w="580" w:type="pct"/>
          </w:tcPr>
          <w:p w14:paraId="40FAA090" w14:textId="323776F8" w:rsidR="00BD2354" w:rsidRPr="00D96752" w:rsidRDefault="00B56D05"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69EE99EA" w14:textId="2CD7FB47" w:rsidR="00BD2354" w:rsidRPr="00D96752" w:rsidRDefault="00AE05A4"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Introdus în Regulamentul nr.322/2018 privind cadrul de administrare a </w:t>
            </w:r>
            <w:proofErr w:type="spellStart"/>
            <w:r w:rsidRPr="00D96752">
              <w:rPr>
                <w:rFonts w:ascii="Times New Roman" w:hAnsi="Times New Roman" w:cs="Times New Roman"/>
                <w:bCs/>
                <w:color w:val="000000" w:themeColor="text1"/>
                <w:lang w:val="ro-MD"/>
              </w:rPr>
              <w:t>activităţii</w:t>
            </w:r>
            <w:proofErr w:type="spellEnd"/>
            <w:r w:rsidRPr="00D96752">
              <w:rPr>
                <w:rFonts w:ascii="Times New Roman" w:hAnsi="Times New Roman" w:cs="Times New Roman"/>
                <w:bCs/>
                <w:color w:val="000000" w:themeColor="text1"/>
                <w:lang w:val="ro-MD"/>
              </w:rPr>
              <w:t xml:space="preserve"> băncilor</w:t>
            </w:r>
          </w:p>
        </w:tc>
      </w:tr>
      <w:tr w:rsidR="003A6646" w:rsidRPr="00D96752" w14:paraId="4FC28DF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516004C7" w14:textId="64F27E38" w:rsidR="003A6646" w:rsidRPr="00D96752" w:rsidRDefault="003A6646" w:rsidP="003A6646">
            <w:pPr>
              <w:spacing w:after="0" w:line="276" w:lineRule="auto"/>
              <w:jc w:val="both"/>
              <w:rPr>
                <w:rFonts w:ascii="Times New Roman" w:hAnsi="Times New Roman" w:cs="Times New Roman"/>
                <w:bCs/>
                <w:color w:val="000000" w:themeColor="text1"/>
                <w:lang w:val="ro-MD"/>
              </w:rPr>
            </w:pPr>
            <w:bookmarkStart w:id="8" w:name="_Hlk193444103"/>
            <w:r w:rsidRPr="00D96752">
              <w:rPr>
                <w:rFonts w:ascii="Times New Roman" w:hAnsi="Times New Roman" w:cs="Times New Roman"/>
                <w:bCs/>
                <w:color w:val="000000" w:themeColor="text1"/>
                <w:lang w:val="ro-MD"/>
              </w:rPr>
              <w:lastRenderedPageBreak/>
              <w:t xml:space="preserve">52c.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risc</w:t>
            </w:r>
            <w:proofErr w:type="gramEnd"/>
            <w:r w:rsidRPr="00D96752">
              <w:rPr>
                <w:rFonts w:ascii="Times New Roman" w:hAnsi="Times New Roman" w:cs="Times New Roman"/>
                <w:bCs/>
                <w:color w:val="000000" w:themeColor="text1"/>
                <w:lang w:val="ro-MD"/>
              </w:rPr>
              <w:t xml:space="preserve"> TIC</w:t>
            </w:r>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riscul de pierderi legat de orice </w:t>
            </w:r>
            <w:proofErr w:type="spellStart"/>
            <w:r w:rsidRPr="00D96752">
              <w:rPr>
                <w:rFonts w:ascii="Times New Roman" w:hAnsi="Times New Roman" w:cs="Times New Roman"/>
                <w:bCs/>
                <w:color w:val="000000" w:themeColor="text1"/>
                <w:lang w:val="ro-MD"/>
              </w:rPr>
              <w:t>circumstan</w:t>
            </w:r>
            <w:r w:rsidRPr="00D96752">
              <w:rPr>
                <w:rFonts w:ascii="Times New Roman" w:hAnsi="Times New Roman" w:cs="Times New Roman" w:hint="eastAsia"/>
                <w:bCs/>
                <w:color w:val="000000" w:themeColor="text1"/>
                <w:lang w:val="ro-MD"/>
              </w:rPr>
              <w:t>ţă</w:t>
            </w:r>
            <w:proofErr w:type="spellEnd"/>
            <w:r w:rsidRPr="00D96752">
              <w:rPr>
                <w:rFonts w:ascii="Times New Roman" w:hAnsi="Times New Roman" w:cs="Times New Roman"/>
                <w:bCs/>
                <w:color w:val="000000" w:themeColor="text1"/>
                <w:lang w:val="ro-MD"/>
              </w:rPr>
              <w:t xml:space="preserve"> care poate fi identificat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mod rezonabil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leg</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tur</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cu utilizarea </w:t>
            </w:r>
            <w:proofErr w:type="spellStart"/>
            <w:r w:rsidRPr="00D96752">
              <w:rPr>
                <w:rFonts w:ascii="Times New Roman" w:hAnsi="Times New Roman" w:cs="Times New Roman"/>
                <w:bCs/>
                <w:color w:val="000000" w:themeColor="text1"/>
                <w:lang w:val="ro-MD"/>
              </w:rPr>
              <w:t>re</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elelor</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i a sistemelor informatice care, dac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se materializeaz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w:t>
            </w:r>
          </w:p>
          <w:p w14:paraId="4D9A6262" w14:textId="39AE0EC0"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ar putea compromite securitatea </w:t>
            </w:r>
            <w:proofErr w:type="spellStart"/>
            <w:r w:rsidRPr="00D96752">
              <w:rPr>
                <w:rFonts w:ascii="Times New Roman" w:hAnsi="Times New Roman" w:cs="Times New Roman"/>
                <w:bCs/>
                <w:color w:val="000000" w:themeColor="text1"/>
                <w:lang w:val="ro-MD"/>
              </w:rPr>
              <w:t>re</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elelor</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i a sistemelor informatice, a oric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rui instrument sau proces dependent de tehnologie, a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iunilor</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i proceselor sau a prest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rii de servicii prin producerea de efecte adverse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mediul digital sau fizic;</w:t>
            </w:r>
          </w:p>
        </w:tc>
        <w:tc>
          <w:tcPr>
            <w:tcW w:w="1588" w:type="pct"/>
            <w:shd w:val="clear" w:color="auto" w:fill="auto"/>
          </w:tcPr>
          <w:p w14:paraId="43270117" w14:textId="00A57F77" w:rsidR="006D1381" w:rsidRPr="00D96752" w:rsidRDefault="005A0034" w:rsidP="006D138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6D1381" w:rsidRPr="00D96752">
              <w:rPr>
                <w:rFonts w:ascii="Times New Roman" w:hAnsi="Times New Roman" w:cs="Times New Roman"/>
                <w:bCs/>
                <w:color w:val="000000" w:themeColor="text1"/>
                <w:lang w:val="ro-MD"/>
              </w:rPr>
              <w:t xml:space="preserve">. Regulamentul privind cadrul de administrare a </w:t>
            </w:r>
            <w:proofErr w:type="spellStart"/>
            <w:r w:rsidR="006D1381" w:rsidRPr="00D96752">
              <w:rPr>
                <w:rFonts w:ascii="Times New Roman" w:hAnsi="Times New Roman" w:cs="Times New Roman"/>
                <w:bCs/>
                <w:color w:val="000000" w:themeColor="text1"/>
                <w:lang w:val="ro-MD"/>
              </w:rPr>
              <w:t>activităţii</w:t>
            </w:r>
            <w:proofErr w:type="spellEnd"/>
            <w:r w:rsidR="006D1381" w:rsidRPr="00D96752">
              <w:rPr>
                <w:rFonts w:ascii="Times New Roman" w:hAnsi="Times New Roman" w:cs="Times New Roman"/>
                <w:bCs/>
                <w:color w:val="000000" w:themeColor="text1"/>
                <w:lang w:val="ro-MD"/>
              </w:rPr>
              <w:t xml:space="preserve"> băncilor, aprobat prin Hotărârea Comitetului executiv al Băncii Naționale a Moldovei nr.322/2018 (Monitorul Oficial al Republicii Moldova, 2019, nr.1-5, art.56), înregistrat la Ministerul Justiției al Republicii Moldova cu nr.1400/2018</w:t>
            </w:r>
            <w:r w:rsidRPr="00D96752">
              <w:rPr>
                <w:rFonts w:ascii="Times New Roman" w:hAnsi="Times New Roman" w:cs="Times New Roman"/>
                <w:bCs/>
                <w:color w:val="000000" w:themeColor="text1"/>
                <w:lang w:val="ro-MD"/>
              </w:rPr>
              <w:t>, se modifică după cum urmează</w:t>
            </w:r>
            <w:r w:rsidR="006D1381" w:rsidRPr="00D96752">
              <w:rPr>
                <w:rFonts w:ascii="Times New Roman" w:hAnsi="Times New Roman" w:cs="Times New Roman"/>
                <w:bCs/>
                <w:color w:val="000000" w:themeColor="text1"/>
                <w:lang w:val="ro-MD"/>
              </w:rPr>
              <w:t>:</w:t>
            </w:r>
          </w:p>
          <w:p w14:paraId="1F6297D0" w14:textId="7CEB10CB" w:rsidR="006D1381" w:rsidRPr="00D96752" w:rsidRDefault="005A0034" w:rsidP="006D138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6D1381" w:rsidRPr="00D96752">
              <w:rPr>
                <w:rFonts w:ascii="Times New Roman" w:hAnsi="Times New Roman" w:cs="Times New Roman"/>
                <w:bCs/>
                <w:color w:val="000000" w:themeColor="text1"/>
                <w:lang w:val="ro-MD"/>
              </w:rPr>
              <w:t>.1.</w:t>
            </w:r>
            <w:r w:rsidR="006D1381" w:rsidRPr="00D96752">
              <w:rPr>
                <w:rFonts w:ascii="Times New Roman" w:hAnsi="Times New Roman" w:cs="Times New Roman"/>
                <w:bCs/>
                <w:color w:val="000000" w:themeColor="text1"/>
                <w:lang w:val="ro-MD"/>
              </w:rPr>
              <w:tab/>
            </w:r>
            <w:r w:rsidRPr="00D96752">
              <w:rPr>
                <w:rFonts w:ascii="Times New Roman" w:hAnsi="Times New Roman" w:cs="Times New Roman"/>
                <w:bCs/>
                <w:color w:val="000000" w:themeColor="text1"/>
                <w:lang w:val="ro-MD"/>
              </w:rPr>
              <w:t>La</w:t>
            </w:r>
            <w:r w:rsidR="006D1381" w:rsidRPr="00D96752">
              <w:rPr>
                <w:rFonts w:ascii="Times New Roman" w:hAnsi="Times New Roman" w:cs="Times New Roman"/>
                <w:bCs/>
                <w:color w:val="000000" w:themeColor="text1"/>
                <w:lang w:val="ro-MD"/>
              </w:rPr>
              <w:t xml:space="preserve"> pct.4: </w:t>
            </w:r>
          </w:p>
          <w:p w14:paraId="36BD3892" w14:textId="6FD05642" w:rsidR="003A6646" w:rsidRPr="00D96752" w:rsidRDefault="005A0034"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6D1381" w:rsidRPr="00D96752">
              <w:rPr>
                <w:rFonts w:ascii="Times New Roman" w:hAnsi="Times New Roman" w:cs="Times New Roman"/>
                <w:bCs/>
                <w:color w:val="000000" w:themeColor="text1"/>
                <w:lang w:val="ro-MD"/>
              </w:rPr>
              <w:t xml:space="preserve">.1.1. definiția „risc aferent tehnologiei </w:t>
            </w:r>
            <w:proofErr w:type="spellStart"/>
            <w:r w:rsidR="006D1381" w:rsidRPr="00D96752">
              <w:rPr>
                <w:rFonts w:ascii="Times New Roman" w:hAnsi="Times New Roman" w:cs="Times New Roman"/>
                <w:bCs/>
                <w:color w:val="000000" w:themeColor="text1"/>
                <w:lang w:val="ro-MD"/>
              </w:rPr>
              <w:t>informaţiei</w:t>
            </w:r>
            <w:proofErr w:type="spellEnd"/>
            <w:r w:rsidR="006D1381" w:rsidRPr="00D96752">
              <w:rPr>
                <w:rFonts w:ascii="Times New Roman" w:hAnsi="Times New Roman" w:cs="Times New Roman"/>
                <w:bCs/>
                <w:color w:val="000000" w:themeColor="text1"/>
                <w:lang w:val="ro-MD"/>
              </w:rPr>
              <w:t xml:space="preserve"> </w:t>
            </w:r>
            <w:proofErr w:type="spellStart"/>
            <w:r w:rsidR="006D1381" w:rsidRPr="00D96752">
              <w:rPr>
                <w:rFonts w:ascii="Times New Roman" w:hAnsi="Times New Roman" w:cs="Times New Roman"/>
                <w:bCs/>
                <w:color w:val="000000" w:themeColor="text1"/>
                <w:lang w:val="ro-MD"/>
              </w:rPr>
              <w:t>şi</w:t>
            </w:r>
            <w:proofErr w:type="spellEnd"/>
            <w:r w:rsidR="006D1381" w:rsidRPr="00D96752">
              <w:rPr>
                <w:rFonts w:ascii="Times New Roman" w:hAnsi="Times New Roman" w:cs="Times New Roman"/>
                <w:bCs/>
                <w:color w:val="000000" w:themeColor="text1"/>
                <w:lang w:val="ro-MD"/>
              </w:rPr>
              <w:t xml:space="preserve"> </w:t>
            </w:r>
            <w:proofErr w:type="spellStart"/>
            <w:r w:rsidR="006D1381" w:rsidRPr="00D96752">
              <w:rPr>
                <w:rFonts w:ascii="Times New Roman" w:hAnsi="Times New Roman" w:cs="Times New Roman"/>
                <w:bCs/>
                <w:color w:val="000000" w:themeColor="text1"/>
                <w:lang w:val="ro-MD"/>
              </w:rPr>
              <w:t>comunicaţiilor</w:t>
            </w:r>
            <w:proofErr w:type="spellEnd"/>
            <w:r w:rsidR="006D1381" w:rsidRPr="00D96752">
              <w:rPr>
                <w:rFonts w:ascii="Times New Roman" w:hAnsi="Times New Roman" w:cs="Times New Roman"/>
                <w:bCs/>
                <w:color w:val="000000" w:themeColor="text1"/>
                <w:lang w:val="ro-MD"/>
              </w:rPr>
              <w:t xml:space="preserve"> (risc TIC)” se expune în următoarea redacție: </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risc </w:t>
            </w:r>
            <w:r w:rsidR="00201528" w:rsidRPr="00D96752">
              <w:rPr>
                <w:rFonts w:ascii="Times New Roman" w:hAnsi="Times New Roman" w:cs="Times New Roman"/>
                <w:bCs/>
                <w:color w:val="000000" w:themeColor="text1"/>
                <w:lang w:val="ro-MD"/>
              </w:rPr>
              <w:t xml:space="preserve">aferent tehnologiei </w:t>
            </w:r>
            <w:proofErr w:type="spellStart"/>
            <w:r w:rsidR="00201528" w:rsidRPr="00D96752">
              <w:rPr>
                <w:rFonts w:ascii="Times New Roman" w:hAnsi="Times New Roman" w:cs="Times New Roman"/>
                <w:bCs/>
                <w:color w:val="000000" w:themeColor="text1"/>
                <w:lang w:val="ro-MD"/>
              </w:rPr>
              <w:t>informaţiei</w:t>
            </w:r>
            <w:proofErr w:type="spellEnd"/>
            <w:r w:rsidR="00201528" w:rsidRPr="00D96752">
              <w:rPr>
                <w:rFonts w:ascii="Times New Roman" w:hAnsi="Times New Roman" w:cs="Times New Roman"/>
                <w:bCs/>
                <w:color w:val="000000" w:themeColor="text1"/>
                <w:lang w:val="ro-MD"/>
              </w:rPr>
              <w:t xml:space="preserve"> </w:t>
            </w:r>
            <w:proofErr w:type="spellStart"/>
            <w:r w:rsidR="00201528" w:rsidRPr="00D96752">
              <w:rPr>
                <w:rFonts w:ascii="Times New Roman" w:hAnsi="Times New Roman" w:cs="Times New Roman"/>
                <w:bCs/>
                <w:color w:val="000000" w:themeColor="text1"/>
                <w:lang w:val="ro-MD"/>
              </w:rPr>
              <w:t>şi</w:t>
            </w:r>
            <w:proofErr w:type="spellEnd"/>
            <w:r w:rsidR="00201528" w:rsidRPr="00D96752">
              <w:rPr>
                <w:rFonts w:ascii="Times New Roman" w:hAnsi="Times New Roman" w:cs="Times New Roman"/>
                <w:bCs/>
                <w:color w:val="000000" w:themeColor="text1"/>
                <w:lang w:val="ro-MD"/>
              </w:rPr>
              <w:t xml:space="preserve"> </w:t>
            </w:r>
            <w:proofErr w:type="spellStart"/>
            <w:r w:rsidR="00201528" w:rsidRPr="00D96752">
              <w:rPr>
                <w:rFonts w:ascii="Times New Roman" w:hAnsi="Times New Roman" w:cs="Times New Roman"/>
                <w:bCs/>
                <w:color w:val="000000" w:themeColor="text1"/>
                <w:lang w:val="ro-MD"/>
              </w:rPr>
              <w:t>comunicaţiilor</w:t>
            </w:r>
            <w:proofErr w:type="spellEnd"/>
            <w:r w:rsidR="00201528" w:rsidRPr="00D96752">
              <w:rPr>
                <w:rFonts w:ascii="Times New Roman" w:hAnsi="Times New Roman" w:cs="Times New Roman"/>
                <w:bCs/>
                <w:color w:val="000000" w:themeColor="text1"/>
                <w:lang w:val="ro-MD"/>
              </w:rPr>
              <w:t xml:space="preserve"> (risc </w:t>
            </w:r>
            <w:r w:rsidR="003A6646" w:rsidRPr="00D96752">
              <w:rPr>
                <w:rFonts w:ascii="Times New Roman" w:hAnsi="Times New Roman" w:cs="Times New Roman"/>
                <w:bCs/>
                <w:color w:val="000000" w:themeColor="text1"/>
                <w:lang w:val="ro-MD"/>
              </w:rPr>
              <w:t>TIC</w:t>
            </w:r>
            <w:r w:rsidR="00201528" w:rsidRPr="00D96752">
              <w:rPr>
                <w:rFonts w:ascii="Times New Roman" w:hAnsi="Times New Roman" w:cs="Times New Roman"/>
                <w:bCs/>
                <w:color w:val="000000" w:themeColor="text1"/>
                <w:lang w:val="ro-MD"/>
              </w:rPr>
              <w:t>)</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riscul de pierderi legat de orice </w:t>
            </w:r>
            <w:proofErr w:type="spellStart"/>
            <w:r w:rsidR="003A6646" w:rsidRPr="00D96752">
              <w:rPr>
                <w:rFonts w:ascii="Times New Roman" w:hAnsi="Times New Roman" w:cs="Times New Roman"/>
                <w:bCs/>
                <w:color w:val="000000" w:themeColor="text1"/>
                <w:lang w:val="ro-MD"/>
              </w:rPr>
              <w:t>circumstan</w:t>
            </w:r>
            <w:r w:rsidR="003A6646" w:rsidRPr="00D96752">
              <w:rPr>
                <w:rFonts w:ascii="Times New Roman" w:hAnsi="Times New Roman" w:cs="Times New Roman" w:hint="eastAsia"/>
                <w:bCs/>
                <w:color w:val="000000" w:themeColor="text1"/>
                <w:lang w:val="ro-MD"/>
              </w:rPr>
              <w:t>ţă</w:t>
            </w:r>
            <w:proofErr w:type="spellEnd"/>
            <w:r w:rsidR="003A6646" w:rsidRPr="00D96752">
              <w:rPr>
                <w:rFonts w:ascii="Times New Roman" w:hAnsi="Times New Roman" w:cs="Times New Roman"/>
                <w:bCs/>
                <w:color w:val="000000" w:themeColor="text1"/>
                <w:lang w:val="ro-MD"/>
              </w:rPr>
              <w:t xml:space="preserve"> care poate fi identificat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 mod rezonabil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 leg</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tur</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cu utilizarea </w:t>
            </w:r>
            <w:proofErr w:type="spellStart"/>
            <w:r w:rsidR="003A6646" w:rsidRPr="00D96752">
              <w:rPr>
                <w:rFonts w:ascii="Times New Roman" w:hAnsi="Times New Roman" w:cs="Times New Roman"/>
                <w:bCs/>
                <w:color w:val="000000" w:themeColor="text1"/>
                <w:lang w:val="ro-MD"/>
              </w:rPr>
              <w:t>re</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elelor</w:t>
            </w:r>
            <w:proofErr w:type="spellEnd"/>
            <w:r w:rsidR="003A6646" w:rsidRPr="00D96752">
              <w:rPr>
                <w:rFonts w:ascii="Times New Roman" w:hAnsi="Times New Roman" w:cs="Times New Roman"/>
                <w:bCs/>
                <w:color w:val="000000" w:themeColor="text1"/>
                <w:lang w:val="ro-MD"/>
              </w:rPr>
              <w:t xml:space="preserve"> și a sistemelor informatice care, dac</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se materializeaz</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w:t>
            </w:r>
            <w:r w:rsidR="00E32625"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bCs/>
                <w:color w:val="000000" w:themeColor="text1"/>
                <w:lang w:val="ro-MD"/>
              </w:rPr>
              <w:t xml:space="preserve">ar putea compromite securitatea </w:t>
            </w:r>
            <w:proofErr w:type="spellStart"/>
            <w:r w:rsidR="003A6646" w:rsidRPr="00D96752">
              <w:rPr>
                <w:rFonts w:ascii="Times New Roman" w:hAnsi="Times New Roman" w:cs="Times New Roman"/>
                <w:bCs/>
                <w:color w:val="000000" w:themeColor="text1"/>
                <w:lang w:val="ro-MD"/>
              </w:rPr>
              <w:t>re</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elelor</w:t>
            </w:r>
            <w:proofErr w:type="spellEnd"/>
            <w:r w:rsidR="003A6646" w:rsidRPr="00D96752">
              <w:rPr>
                <w:rFonts w:ascii="Times New Roman" w:hAnsi="Times New Roman" w:cs="Times New Roman"/>
                <w:bCs/>
                <w:color w:val="000000" w:themeColor="text1"/>
                <w:lang w:val="ro-MD"/>
              </w:rPr>
              <w:t xml:space="preserve"> și a sistemelor informatice, a oric</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rui instrument sau proces dependent de tehnologie, a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iunilor</w:t>
            </w:r>
            <w:proofErr w:type="spellEnd"/>
            <w:r w:rsidR="003A6646" w:rsidRPr="00D96752">
              <w:rPr>
                <w:rFonts w:ascii="Times New Roman" w:hAnsi="Times New Roman" w:cs="Times New Roman"/>
                <w:bCs/>
                <w:color w:val="000000" w:themeColor="text1"/>
                <w:lang w:val="ro-MD"/>
              </w:rPr>
              <w:t xml:space="preserve"> și proceselor sau a </w:t>
            </w:r>
            <w:r w:rsidR="003A6646" w:rsidRPr="00D96752">
              <w:rPr>
                <w:rFonts w:ascii="Times New Roman" w:hAnsi="Times New Roman" w:cs="Times New Roman"/>
                <w:bCs/>
                <w:color w:val="000000" w:themeColor="text1"/>
                <w:lang w:val="ro-MD"/>
              </w:rPr>
              <w:lastRenderedPageBreak/>
              <w:t>prest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rii de servicii prin producerea de efecte adverse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 mediul digital sau fizic;</w:t>
            </w:r>
          </w:p>
        </w:tc>
        <w:tc>
          <w:tcPr>
            <w:tcW w:w="580" w:type="pct"/>
          </w:tcPr>
          <w:p w14:paraId="14301341" w14:textId="547F906D" w:rsidR="003A6646" w:rsidRPr="00D96752" w:rsidRDefault="00B56D05"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135F72C4" w14:textId="1E3AAF5C" w:rsidR="003A6646" w:rsidRPr="00D96752" w:rsidRDefault="00201528" w:rsidP="00AE05A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modificat</w:t>
            </w:r>
            <w:r w:rsidR="00AE05A4" w:rsidRPr="00D96752">
              <w:rPr>
                <w:rFonts w:ascii="Times New Roman" w:hAnsi="Times New Roman" w:cs="Times New Roman"/>
                <w:bCs/>
                <w:color w:val="000000" w:themeColor="text1"/>
                <w:lang w:val="ro-MD"/>
              </w:rPr>
              <w:t xml:space="preserve"> în Regulamentul nr.322/2018</w:t>
            </w:r>
            <w:r w:rsidR="00AE05A4" w:rsidRPr="00D96752">
              <w:t xml:space="preserve"> </w:t>
            </w:r>
            <w:r w:rsidR="00AE05A4" w:rsidRPr="00D96752">
              <w:rPr>
                <w:rFonts w:ascii="Times New Roman" w:hAnsi="Times New Roman" w:cs="Times New Roman"/>
                <w:bCs/>
                <w:color w:val="000000" w:themeColor="text1"/>
                <w:lang w:val="ro-MD"/>
              </w:rPr>
              <w:t xml:space="preserve">privind cadrul de administrare a </w:t>
            </w:r>
            <w:proofErr w:type="spellStart"/>
            <w:r w:rsidR="00AE05A4" w:rsidRPr="00D96752">
              <w:rPr>
                <w:rFonts w:ascii="Times New Roman" w:hAnsi="Times New Roman" w:cs="Times New Roman"/>
                <w:bCs/>
                <w:color w:val="000000" w:themeColor="text1"/>
                <w:lang w:val="ro-MD"/>
              </w:rPr>
              <w:t>activităţii</w:t>
            </w:r>
            <w:proofErr w:type="spellEnd"/>
            <w:r w:rsidR="00AE05A4" w:rsidRPr="00D96752">
              <w:rPr>
                <w:rFonts w:ascii="Times New Roman" w:hAnsi="Times New Roman" w:cs="Times New Roman"/>
                <w:bCs/>
                <w:color w:val="000000" w:themeColor="text1"/>
                <w:lang w:val="ro-MD"/>
              </w:rPr>
              <w:t xml:space="preserve"> băncilor </w:t>
            </w:r>
          </w:p>
        </w:tc>
      </w:tr>
      <w:bookmarkEnd w:id="8"/>
      <w:tr w:rsidR="003A6646" w:rsidRPr="00D96752" w14:paraId="4EED472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7A6802C" w14:textId="6FE66336"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sensul primului paragraf punctul 52a, riscul juridic nu cuprinde ramburs</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rile 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tre </w:t>
            </w:r>
            <w:proofErr w:type="spellStart"/>
            <w:r w:rsidRPr="00D96752">
              <w:rPr>
                <w:rFonts w:ascii="Times New Roman" w:hAnsi="Times New Roman" w:cs="Times New Roman"/>
                <w:bCs/>
                <w:color w:val="000000" w:themeColor="text1"/>
                <w:lang w:val="ro-MD"/>
              </w:rPr>
              <w:t>ter</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w:t>
            </w:r>
            <w:proofErr w:type="spellEnd"/>
            <w:r w:rsidRPr="00D96752">
              <w:rPr>
                <w:rFonts w:ascii="Times New Roman" w:hAnsi="Times New Roman" w:cs="Times New Roman"/>
                <w:bCs/>
                <w:color w:val="000000" w:themeColor="text1"/>
                <w:lang w:val="ro-MD"/>
              </w:rPr>
              <w:t xml:space="preserve"> sau </w:t>
            </w:r>
            <w:proofErr w:type="spellStart"/>
            <w:r w:rsidRPr="00D96752">
              <w:rPr>
                <w:rFonts w:ascii="Times New Roman" w:hAnsi="Times New Roman" w:cs="Times New Roman"/>
                <w:bCs/>
                <w:color w:val="000000" w:themeColor="text1"/>
                <w:lang w:val="ro-MD"/>
              </w:rPr>
              <w:t>angaja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w:t>
            </w:r>
            <w:proofErr w:type="spellStart"/>
            <w:r w:rsidRPr="00D96752">
              <w:rPr>
                <w:rFonts w:ascii="Times New Roman" w:hAnsi="Times New Roman" w:cs="Times New Roman"/>
                <w:bCs/>
                <w:color w:val="000000" w:themeColor="text1"/>
                <w:lang w:val="ro-MD"/>
              </w:rPr>
              <w:t>compensa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iile</w:t>
            </w:r>
            <w:proofErr w:type="spellEnd"/>
            <w:r w:rsidRPr="00D96752">
              <w:rPr>
                <w:rFonts w:ascii="Times New Roman" w:hAnsi="Times New Roman" w:cs="Times New Roman"/>
                <w:bCs/>
                <w:color w:val="000000" w:themeColor="text1"/>
                <w:lang w:val="ro-MD"/>
              </w:rPr>
              <w:t xml:space="preserve"> rezultate din </w:t>
            </w:r>
            <w:proofErr w:type="spellStart"/>
            <w:r w:rsidRPr="00D96752">
              <w:rPr>
                <w:rFonts w:ascii="Times New Roman" w:hAnsi="Times New Roman" w:cs="Times New Roman"/>
                <w:bCs/>
                <w:color w:val="000000" w:themeColor="text1"/>
                <w:lang w:val="ro-MD"/>
              </w:rPr>
              <w:t>oportunit</w:t>
            </w:r>
            <w:r w:rsidRPr="00D96752">
              <w:rPr>
                <w:rFonts w:ascii="Times New Roman" w:hAnsi="Times New Roman" w:cs="Times New Roman" w:hint="eastAsia"/>
                <w:bCs/>
                <w:color w:val="000000" w:themeColor="text1"/>
                <w:lang w:val="ro-MD"/>
              </w:rPr>
              <w:t>ăţ</w:t>
            </w:r>
            <w:r w:rsidRPr="00D96752">
              <w:rPr>
                <w:rFonts w:ascii="Times New Roman" w:hAnsi="Times New Roman" w:cs="Times New Roman"/>
                <w:bCs/>
                <w:color w:val="000000" w:themeColor="text1"/>
                <w:lang w:val="ro-MD"/>
              </w:rPr>
              <w:t>i</w:t>
            </w:r>
            <w:proofErr w:type="spellEnd"/>
            <w:r w:rsidRPr="00D96752">
              <w:rPr>
                <w:rFonts w:ascii="Times New Roman" w:hAnsi="Times New Roman" w:cs="Times New Roman"/>
                <w:bCs/>
                <w:color w:val="000000" w:themeColor="text1"/>
                <w:lang w:val="ro-MD"/>
              </w:rPr>
              <w:t xml:space="preserve"> de afaceri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cazul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care nu s-a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lcat nicio norm</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i nicio regul</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de conduit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etic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iar </w:t>
            </w:r>
            <w:proofErr w:type="spellStart"/>
            <w:r w:rsidRPr="00D96752">
              <w:rPr>
                <w:rFonts w:ascii="Times New Roman" w:hAnsi="Times New Roman" w:cs="Times New Roman"/>
                <w:bCs/>
                <w:color w:val="000000" w:themeColor="text1"/>
                <w:lang w:val="ro-MD"/>
              </w:rPr>
              <w:t>institu</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ia</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i-a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ndeplinit </w:t>
            </w:r>
            <w:proofErr w:type="spellStart"/>
            <w:r w:rsidRPr="00D96752">
              <w:rPr>
                <w:rFonts w:ascii="Times New Roman" w:hAnsi="Times New Roman" w:cs="Times New Roman"/>
                <w:bCs/>
                <w:color w:val="000000" w:themeColor="text1"/>
                <w:lang w:val="ro-MD"/>
              </w:rPr>
              <w:t>obliga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iile</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timp util. Riscul juridic nu cuprinde nici costurile juridice externe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cazul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care evenimentul care genereaz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respectivele costuri externe nu este un eveniment de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w:t>
            </w:r>
          </w:p>
        </w:tc>
        <w:tc>
          <w:tcPr>
            <w:tcW w:w="1588" w:type="pct"/>
            <w:shd w:val="clear" w:color="auto" w:fill="auto"/>
          </w:tcPr>
          <w:p w14:paraId="098FE9CF" w14:textId="21E0616E"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sensul </w:t>
            </w:r>
            <w:r w:rsidR="002843DF" w:rsidRPr="00D96752">
              <w:rPr>
                <w:rFonts w:ascii="Times New Roman" w:hAnsi="Times New Roman" w:cs="Times New Roman"/>
                <w:bCs/>
                <w:color w:val="000000" w:themeColor="text1"/>
                <w:lang w:val="ro-MD"/>
              </w:rPr>
              <w:t>definiției „risc juridic”</w:t>
            </w:r>
            <w:r w:rsidRPr="00D96752">
              <w:rPr>
                <w:rFonts w:ascii="Times New Roman" w:hAnsi="Times New Roman" w:cs="Times New Roman"/>
                <w:bCs/>
                <w:color w:val="000000" w:themeColor="text1"/>
                <w:lang w:val="ro-MD"/>
              </w:rPr>
              <w:t xml:space="preserve">, </w:t>
            </w:r>
            <w:bookmarkStart w:id="9" w:name="_Hlk199936972"/>
            <w:r w:rsidRPr="00D96752">
              <w:rPr>
                <w:rFonts w:ascii="Times New Roman" w:hAnsi="Times New Roman" w:cs="Times New Roman"/>
                <w:bCs/>
                <w:color w:val="000000" w:themeColor="text1"/>
                <w:lang w:val="ro-MD"/>
              </w:rPr>
              <w:t>riscul juridic nu cuprinde ramburs</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rile 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tre </w:t>
            </w:r>
            <w:proofErr w:type="spellStart"/>
            <w:r w:rsidRPr="00D96752">
              <w:rPr>
                <w:rFonts w:ascii="Times New Roman" w:hAnsi="Times New Roman" w:cs="Times New Roman"/>
                <w:bCs/>
                <w:color w:val="000000" w:themeColor="text1"/>
                <w:lang w:val="ro-MD"/>
              </w:rPr>
              <w:t>ter</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w:t>
            </w:r>
            <w:proofErr w:type="spellEnd"/>
            <w:r w:rsidRPr="00D96752">
              <w:rPr>
                <w:rFonts w:ascii="Times New Roman" w:hAnsi="Times New Roman" w:cs="Times New Roman"/>
                <w:bCs/>
                <w:color w:val="000000" w:themeColor="text1"/>
                <w:lang w:val="ro-MD"/>
              </w:rPr>
              <w:t xml:space="preserve"> sau </w:t>
            </w:r>
            <w:proofErr w:type="spellStart"/>
            <w:r w:rsidRPr="00D96752">
              <w:rPr>
                <w:rFonts w:ascii="Times New Roman" w:hAnsi="Times New Roman" w:cs="Times New Roman"/>
                <w:bCs/>
                <w:color w:val="000000" w:themeColor="text1"/>
                <w:lang w:val="ro-MD"/>
              </w:rPr>
              <w:t>angaja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w:t>
            </w:r>
            <w:proofErr w:type="spellEnd"/>
            <w:r w:rsidRPr="00D96752">
              <w:rPr>
                <w:rFonts w:ascii="Times New Roman" w:hAnsi="Times New Roman" w:cs="Times New Roman"/>
                <w:bCs/>
                <w:color w:val="000000" w:themeColor="text1"/>
                <w:lang w:val="ro-MD"/>
              </w:rPr>
              <w:t xml:space="preserve"> și </w:t>
            </w:r>
            <w:proofErr w:type="spellStart"/>
            <w:r w:rsidRPr="00D96752">
              <w:rPr>
                <w:rFonts w:ascii="Times New Roman" w:hAnsi="Times New Roman" w:cs="Times New Roman"/>
                <w:bCs/>
                <w:color w:val="000000" w:themeColor="text1"/>
                <w:lang w:val="ro-MD"/>
              </w:rPr>
              <w:t>compensa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iile</w:t>
            </w:r>
            <w:proofErr w:type="spellEnd"/>
            <w:r w:rsidRPr="00D96752">
              <w:rPr>
                <w:rFonts w:ascii="Times New Roman" w:hAnsi="Times New Roman" w:cs="Times New Roman"/>
                <w:bCs/>
                <w:color w:val="000000" w:themeColor="text1"/>
                <w:lang w:val="ro-MD"/>
              </w:rPr>
              <w:t xml:space="preserve"> rezultate din </w:t>
            </w:r>
            <w:proofErr w:type="spellStart"/>
            <w:r w:rsidRPr="00D96752">
              <w:rPr>
                <w:rFonts w:ascii="Times New Roman" w:hAnsi="Times New Roman" w:cs="Times New Roman"/>
                <w:bCs/>
                <w:color w:val="000000" w:themeColor="text1"/>
                <w:lang w:val="ro-MD"/>
              </w:rPr>
              <w:t>oportunit</w:t>
            </w:r>
            <w:r w:rsidRPr="00D96752">
              <w:rPr>
                <w:rFonts w:ascii="Times New Roman" w:hAnsi="Times New Roman" w:cs="Times New Roman" w:hint="eastAsia"/>
                <w:bCs/>
                <w:color w:val="000000" w:themeColor="text1"/>
                <w:lang w:val="ro-MD"/>
              </w:rPr>
              <w:t>ăţ</w:t>
            </w:r>
            <w:r w:rsidRPr="00D96752">
              <w:rPr>
                <w:rFonts w:ascii="Times New Roman" w:hAnsi="Times New Roman" w:cs="Times New Roman"/>
                <w:bCs/>
                <w:color w:val="000000" w:themeColor="text1"/>
                <w:lang w:val="ro-MD"/>
              </w:rPr>
              <w:t>i</w:t>
            </w:r>
            <w:proofErr w:type="spellEnd"/>
            <w:r w:rsidRPr="00D96752">
              <w:rPr>
                <w:rFonts w:ascii="Times New Roman" w:hAnsi="Times New Roman" w:cs="Times New Roman"/>
                <w:bCs/>
                <w:color w:val="000000" w:themeColor="text1"/>
                <w:lang w:val="ro-MD"/>
              </w:rPr>
              <w:t xml:space="preserve"> de afaceri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cazul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care nu s-a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lcat nicio norm</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și nicio regul</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de conduit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etic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iar </w:t>
            </w:r>
            <w:r w:rsidR="002843DF" w:rsidRPr="00D96752">
              <w:rPr>
                <w:rFonts w:ascii="Times New Roman" w:hAnsi="Times New Roman" w:cs="Times New Roman"/>
                <w:bCs/>
                <w:color w:val="000000" w:themeColor="text1"/>
                <w:lang w:val="ro-MD"/>
              </w:rPr>
              <w:t xml:space="preserve">banca </w:t>
            </w:r>
            <w:r w:rsidRPr="00D96752">
              <w:rPr>
                <w:rFonts w:ascii="Times New Roman" w:hAnsi="Times New Roman" w:cs="Times New Roman"/>
                <w:bCs/>
                <w:color w:val="000000" w:themeColor="text1"/>
                <w:lang w:val="ro-MD"/>
              </w:rPr>
              <w:t xml:space="preserve">și-a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ndeplinit </w:t>
            </w:r>
            <w:proofErr w:type="spellStart"/>
            <w:r w:rsidRPr="00D96752">
              <w:rPr>
                <w:rFonts w:ascii="Times New Roman" w:hAnsi="Times New Roman" w:cs="Times New Roman"/>
                <w:bCs/>
                <w:color w:val="000000" w:themeColor="text1"/>
                <w:lang w:val="ro-MD"/>
              </w:rPr>
              <w:t>obliga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iile</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timp util. Riscul juridic nu cuprinde nici costurile juridice externe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cazul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care evenimentul care genereaz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respectivele costuri externe nu este un eveniment de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w:t>
            </w:r>
            <w:bookmarkEnd w:id="9"/>
          </w:p>
        </w:tc>
        <w:tc>
          <w:tcPr>
            <w:tcW w:w="580" w:type="pct"/>
          </w:tcPr>
          <w:p w14:paraId="71096B29" w14:textId="56F5486B" w:rsidR="003A6646" w:rsidRPr="00D96752" w:rsidRDefault="00B56D05"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160F03E" w14:textId="268A0B54" w:rsidR="003A6646" w:rsidRPr="00D96752" w:rsidRDefault="0005424B"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Inclus ca explicație în definiția „risc juridic” </w:t>
            </w:r>
            <w:r w:rsidR="008B5213" w:rsidRPr="00D96752">
              <w:rPr>
                <w:rFonts w:ascii="Times New Roman" w:hAnsi="Times New Roman" w:cs="Times New Roman"/>
                <w:bCs/>
                <w:color w:val="000000" w:themeColor="text1"/>
                <w:lang w:val="ro-MD"/>
              </w:rPr>
              <w:t xml:space="preserve">propusă spre </w:t>
            </w:r>
            <w:r w:rsidRPr="00D96752">
              <w:rPr>
                <w:rFonts w:ascii="Times New Roman" w:hAnsi="Times New Roman" w:cs="Times New Roman"/>
                <w:bCs/>
                <w:color w:val="000000" w:themeColor="text1"/>
                <w:lang w:val="ro-MD"/>
              </w:rPr>
              <w:t>introdu</w:t>
            </w:r>
            <w:r w:rsidR="008B5213" w:rsidRPr="00D96752">
              <w:rPr>
                <w:rFonts w:ascii="Times New Roman" w:hAnsi="Times New Roman" w:cs="Times New Roman"/>
                <w:bCs/>
                <w:color w:val="000000" w:themeColor="text1"/>
                <w:lang w:val="ro-MD"/>
              </w:rPr>
              <w:t>cere</w:t>
            </w:r>
            <w:r w:rsidRPr="00D96752">
              <w:rPr>
                <w:rFonts w:ascii="Times New Roman" w:hAnsi="Times New Roman" w:cs="Times New Roman"/>
                <w:bCs/>
                <w:color w:val="000000" w:themeColor="text1"/>
                <w:lang w:val="ro-MD"/>
              </w:rPr>
              <w:t xml:space="preserve"> </w:t>
            </w:r>
            <w:r w:rsidR="00AE05A4" w:rsidRPr="00D96752">
              <w:rPr>
                <w:rFonts w:ascii="Times New Roman" w:hAnsi="Times New Roman" w:cs="Times New Roman"/>
                <w:bCs/>
                <w:color w:val="000000" w:themeColor="text1"/>
                <w:lang w:val="ro-MD"/>
              </w:rPr>
              <w:t>în Regulamentul nr.322/2018</w:t>
            </w:r>
            <w:r w:rsidR="00AE05A4" w:rsidRPr="00D96752">
              <w:rPr>
                <w:lang w:val="ro-MD"/>
              </w:rPr>
              <w:t xml:space="preserve"> </w:t>
            </w:r>
            <w:r w:rsidR="00AE05A4" w:rsidRPr="00D96752">
              <w:rPr>
                <w:rFonts w:ascii="Times New Roman" w:hAnsi="Times New Roman" w:cs="Times New Roman"/>
                <w:bCs/>
                <w:color w:val="000000" w:themeColor="text1"/>
                <w:lang w:val="ro-MD"/>
              </w:rPr>
              <w:t xml:space="preserve">privind cadrul de administrare a </w:t>
            </w:r>
            <w:proofErr w:type="spellStart"/>
            <w:r w:rsidR="00AE05A4" w:rsidRPr="00D96752">
              <w:rPr>
                <w:rFonts w:ascii="Times New Roman" w:hAnsi="Times New Roman" w:cs="Times New Roman"/>
                <w:bCs/>
                <w:color w:val="000000" w:themeColor="text1"/>
                <w:lang w:val="ro-MD"/>
              </w:rPr>
              <w:t>activităţii</w:t>
            </w:r>
            <w:proofErr w:type="spellEnd"/>
            <w:r w:rsidR="00AE05A4" w:rsidRPr="00D96752">
              <w:rPr>
                <w:rFonts w:ascii="Times New Roman" w:hAnsi="Times New Roman" w:cs="Times New Roman"/>
                <w:bCs/>
                <w:color w:val="000000" w:themeColor="text1"/>
                <w:lang w:val="ro-MD"/>
              </w:rPr>
              <w:t xml:space="preserve"> băncilor</w:t>
            </w:r>
            <w:r w:rsidR="008B5213" w:rsidRPr="00D96752">
              <w:rPr>
                <w:rFonts w:ascii="Times New Roman" w:hAnsi="Times New Roman" w:cs="Times New Roman"/>
                <w:bCs/>
                <w:color w:val="000000" w:themeColor="text1"/>
                <w:lang w:val="ro-MD"/>
              </w:rPr>
              <w:t xml:space="preserve"> prin prezentul proiect HCE al BNM</w:t>
            </w:r>
          </w:p>
        </w:tc>
      </w:tr>
      <w:bookmarkEnd w:id="5"/>
      <w:tr w:rsidR="003A6646" w:rsidRPr="00D96752" w14:paraId="1C6B38E4"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07388A9"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TITLUL III</w:t>
            </w:r>
          </w:p>
          <w:p w14:paraId="6B4E5CE3" w14:textId="77777777" w:rsidR="003A6646" w:rsidRPr="00D96752" w:rsidRDefault="003A6646" w:rsidP="003A6646">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CERINŢA DE FONDURI PROPRII PENTRU RISCUL OPERAŢIONAL</w:t>
            </w:r>
          </w:p>
          <w:p w14:paraId="384E51B9" w14:textId="77777777" w:rsidR="003A6646" w:rsidRPr="00D96752" w:rsidRDefault="003A6646" w:rsidP="003A6646">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CAPITOLUL 1</w:t>
            </w:r>
          </w:p>
          <w:p w14:paraId="041F3D9F" w14:textId="2FA202BF"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
                <w:bCs/>
                <w:i/>
                <w:iCs/>
                <w:color w:val="000000" w:themeColor="text1"/>
                <w:lang w:val="ro-MD"/>
              </w:rPr>
              <w:t xml:space="preserve">Calcularea </w:t>
            </w:r>
            <w:proofErr w:type="spellStart"/>
            <w:r w:rsidRPr="00D96752">
              <w:rPr>
                <w:rFonts w:ascii="Times New Roman" w:hAnsi="Times New Roman" w:cs="Times New Roman"/>
                <w:b/>
                <w:bCs/>
                <w:i/>
                <w:iCs/>
                <w:color w:val="000000" w:themeColor="text1"/>
                <w:lang w:val="ro-MD"/>
              </w:rPr>
              <w:t>cerinţei</w:t>
            </w:r>
            <w:proofErr w:type="spellEnd"/>
            <w:r w:rsidRPr="00D96752">
              <w:rPr>
                <w:rFonts w:ascii="Times New Roman" w:hAnsi="Times New Roman" w:cs="Times New Roman"/>
                <w:b/>
                <w:bCs/>
                <w:i/>
                <w:iCs/>
                <w:color w:val="000000" w:themeColor="text1"/>
                <w:lang w:val="ro-MD"/>
              </w:rPr>
              <w:t xml:space="preserve"> de fonduri proprii pentru riscul </w:t>
            </w:r>
            <w:proofErr w:type="spellStart"/>
            <w:r w:rsidRPr="00D96752">
              <w:rPr>
                <w:rFonts w:ascii="Times New Roman" w:hAnsi="Times New Roman" w:cs="Times New Roman"/>
                <w:b/>
                <w:bCs/>
                <w:i/>
                <w:iCs/>
                <w:color w:val="000000" w:themeColor="text1"/>
                <w:lang w:val="ro-MD"/>
              </w:rPr>
              <w:t>operaţional</w:t>
            </w:r>
            <w:proofErr w:type="spellEnd"/>
          </w:p>
        </w:tc>
        <w:tc>
          <w:tcPr>
            <w:tcW w:w="1588" w:type="pct"/>
            <w:shd w:val="clear" w:color="auto" w:fill="auto"/>
          </w:tcPr>
          <w:p w14:paraId="3D8BA526" w14:textId="27EE1BA0" w:rsidR="003A6646" w:rsidRPr="00D96752" w:rsidRDefault="00BD3A90" w:rsidP="003A6646">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 xml:space="preserve">Regulamentului </w:t>
            </w:r>
            <w:bookmarkStart w:id="10" w:name="_Hlk210832427"/>
            <w:r w:rsidRPr="00D96752">
              <w:rPr>
                <w:rFonts w:ascii="Times New Roman" w:hAnsi="Times New Roman" w:cs="Times New Roman"/>
                <w:b/>
                <w:bCs/>
                <w:color w:val="000000" w:themeColor="text1"/>
                <w:lang w:val="ro-MD"/>
              </w:rPr>
              <w:t>privind cerința de fonduri proprii pentru riscul operațional</w:t>
            </w:r>
            <w:bookmarkEnd w:id="10"/>
          </w:p>
        </w:tc>
        <w:tc>
          <w:tcPr>
            <w:tcW w:w="580" w:type="pct"/>
          </w:tcPr>
          <w:p w14:paraId="314B78F9"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c>
          <w:tcPr>
            <w:tcW w:w="1249" w:type="pct"/>
          </w:tcPr>
          <w:p w14:paraId="376CBDF3"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58107CE6"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5228F91" w14:textId="77777777" w:rsidR="003A6646" w:rsidRPr="00D96752" w:rsidRDefault="003A6646" w:rsidP="003A6646">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311a</w:t>
            </w:r>
          </w:p>
          <w:p w14:paraId="69EA6B1D" w14:textId="77777777" w:rsidR="003A6646" w:rsidRPr="00D96752" w:rsidRDefault="003A6646" w:rsidP="003A6646">
            <w:pPr>
              <w:spacing w:after="0" w:line="276" w:lineRule="auto"/>
              <w:jc w:val="both"/>
              <w:rPr>
                <w:rFonts w:ascii="Times New Roman" w:hAnsi="Times New Roman" w:cs="Times New Roman"/>
                <w:b/>
                <w:bCs/>
                <w:color w:val="000000" w:themeColor="text1"/>
                <w:lang w:val="ro-MD"/>
              </w:rPr>
            </w:pPr>
            <w:proofErr w:type="spellStart"/>
            <w:r w:rsidRPr="00D96752">
              <w:rPr>
                <w:rFonts w:ascii="Times New Roman" w:hAnsi="Times New Roman" w:cs="Times New Roman"/>
                <w:b/>
                <w:bCs/>
                <w:color w:val="000000" w:themeColor="text1"/>
                <w:lang w:val="ro-MD"/>
              </w:rPr>
              <w:t>Definiţii</w:t>
            </w:r>
            <w:proofErr w:type="spellEnd"/>
          </w:p>
          <w:p w14:paraId="6D7858DC" w14:textId="611C35A3"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sensul prezentului titlu se aplic</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urm</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toarele </w:t>
            </w:r>
            <w:proofErr w:type="spellStart"/>
            <w:r w:rsidRPr="00D96752">
              <w:rPr>
                <w:rFonts w:ascii="Times New Roman" w:hAnsi="Times New Roman" w:cs="Times New Roman"/>
                <w:bCs/>
                <w:color w:val="000000" w:themeColor="text1"/>
                <w:lang w:val="ro-MD"/>
              </w:rPr>
              <w:t>defini</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w:t>
            </w:r>
          </w:p>
        </w:tc>
        <w:tc>
          <w:tcPr>
            <w:tcW w:w="1588" w:type="pct"/>
            <w:shd w:val="clear" w:color="auto" w:fill="auto"/>
          </w:tcPr>
          <w:p w14:paraId="3E921E3D" w14:textId="0A13DC4E" w:rsidR="003A6646" w:rsidRPr="00D96752" w:rsidRDefault="008239F6" w:rsidP="003A6646">
            <w:pPr>
              <w:spacing w:after="0" w:line="276" w:lineRule="auto"/>
              <w:jc w:val="both"/>
              <w:rPr>
                <w:rFonts w:ascii="Times New Roman" w:hAnsi="Times New Roman" w:cs="Times New Roman"/>
                <w:b/>
                <w:bCs/>
                <w:color w:val="000000" w:themeColor="text1"/>
                <w:lang w:val="ro-MD"/>
              </w:rPr>
            </w:pPr>
            <w:proofErr w:type="spellStart"/>
            <w:r w:rsidRPr="00D96752">
              <w:rPr>
                <w:rFonts w:ascii="Times New Roman" w:hAnsi="Times New Roman" w:cs="Times New Roman"/>
                <w:b/>
                <w:bCs/>
                <w:color w:val="000000" w:themeColor="text1"/>
                <w:lang w:val="ro-MD"/>
              </w:rPr>
              <w:t>Secţiunea</w:t>
            </w:r>
            <w:proofErr w:type="spellEnd"/>
            <w:r w:rsidRPr="00D96752">
              <w:rPr>
                <w:rFonts w:ascii="Times New Roman" w:hAnsi="Times New Roman" w:cs="Times New Roman"/>
                <w:b/>
                <w:bCs/>
                <w:color w:val="000000" w:themeColor="text1"/>
                <w:lang w:val="ro-MD"/>
              </w:rPr>
              <w:t xml:space="preserve"> 2. </w:t>
            </w:r>
            <w:proofErr w:type="spellStart"/>
            <w:r w:rsidR="003A6646" w:rsidRPr="00D96752">
              <w:rPr>
                <w:rFonts w:ascii="Times New Roman" w:hAnsi="Times New Roman" w:cs="Times New Roman"/>
                <w:b/>
                <w:bCs/>
                <w:color w:val="000000" w:themeColor="text1"/>
                <w:lang w:val="ro-MD"/>
              </w:rPr>
              <w:t>Definiţii</w:t>
            </w:r>
            <w:proofErr w:type="spellEnd"/>
          </w:p>
          <w:p w14:paraId="3CF5CF28" w14:textId="441F1C70" w:rsidR="003A6646"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5.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 sensul prezentului </w:t>
            </w:r>
            <w:r w:rsidRPr="00D96752">
              <w:rPr>
                <w:rFonts w:ascii="Times New Roman" w:hAnsi="Times New Roman" w:cs="Times New Roman"/>
                <w:bCs/>
                <w:color w:val="000000" w:themeColor="text1"/>
                <w:lang w:val="ro-MD"/>
              </w:rPr>
              <w:t xml:space="preserve">Regulament </w:t>
            </w:r>
            <w:r w:rsidR="003A6646" w:rsidRPr="00D96752">
              <w:rPr>
                <w:rFonts w:ascii="Times New Roman" w:hAnsi="Times New Roman" w:cs="Times New Roman"/>
                <w:bCs/>
                <w:color w:val="000000" w:themeColor="text1"/>
                <w:lang w:val="ro-MD"/>
              </w:rPr>
              <w:t>se aplic</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urm</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toarele </w:t>
            </w:r>
            <w:proofErr w:type="spellStart"/>
            <w:r w:rsidR="003A6646" w:rsidRPr="00D96752">
              <w:rPr>
                <w:rFonts w:ascii="Times New Roman" w:hAnsi="Times New Roman" w:cs="Times New Roman"/>
                <w:bCs/>
                <w:color w:val="000000" w:themeColor="text1"/>
                <w:lang w:val="ro-MD"/>
              </w:rPr>
              <w:t>defini</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ii</w:t>
            </w:r>
            <w:proofErr w:type="spellEnd"/>
            <w:r w:rsidR="003A6646" w:rsidRPr="00D96752">
              <w:rPr>
                <w:rFonts w:ascii="Times New Roman" w:hAnsi="Times New Roman" w:cs="Times New Roman"/>
                <w:bCs/>
                <w:color w:val="000000" w:themeColor="text1"/>
                <w:lang w:val="ro-MD"/>
              </w:rPr>
              <w:t>:</w:t>
            </w:r>
          </w:p>
        </w:tc>
        <w:tc>
          <w:tcPr>
            <w:tcW w:w="580" w:type="pct"/>
          </w:tcPr>
          <w:p w14:paraId="3D190647" w14:textId="29D9111D"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041295FB"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113CABDE"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5AC22518" w14:textId="2164DF2C"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1.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eveniment</w:t>
            </w:r>
            <w:proofErr w:type="gramEnd"/>
            <w:r w:rsidRPr="00D96752">
              <w:rPr>
                <w:rFonts w:ascii="Times New Roman" w:hAnsi="Times New Roman" w:cs="Times New Roman"/>
                <w:bCs/>
                <w:color w:val="000000" w:themeColor="text1"/>
                <w:lang w:val="ro-MD"/>
              </w:rPr>
              <w:t xml:space="preserve"> de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orice eveniment legat de un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 xml:space="preserve"> care genereaz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o pierdere sau pierderi multiple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cursul unuia sau mai multor </w:t>
            </w:r>
            <w:proofErr w:type="spellStart"/>
            <w:r w:rsidRPr="00D96752">
              <w:rPr>
                <w:rFonts w:ascii="Times New Roman" w:hAnsi="Times New Roman" w:cs="Times New Roman"/>
                <w:bCs/>
                <w:color w:val="000000" w:themeColor="text1"/>
                <w:lang w:val="ro-MD"/>
              </w:rPr>
              <w:t>exerci</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financiare;</w:t>
            </w:r>
          </w:p>
        </w:tc>
        <w:tc>
          <w:tcPr>
            <w:tcW w:w="1588" w:type="pct"/>
            <w:shd w:val="clear" w:color="auto" w:fill="auto"/>
          </w:tcPr>
          <w:p w14:paraId="6515E009" w14:textId="7892C11C" w:rsidR="003A6646" w:rsidRPr="00D96752" w:rsidRDefault="00F10A21"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5.</w:t>
            </w:r>
            <w:r w:rsidR="00703DC9" w:rsidRPr="00D96752">
              <w:rPr>
                <w:rFonts w:ascii="Times New Roman" w:hAnsi="Times New Roman" w:cs="Times New Roman"/>
                <w:bCs/>
                <w:color w:val="000000" w:themeColor="text1"/>
                <w:lang w:val="ro-MD"/>
              </w:rPr>
              <w:t>1</w:t>
            </w:r>
            <w:r w:rsidRPr="00D96752">
              <w:rPr>
                <w:rFonts w:ascii="Times New Roman" w:hAnsi="Times New Roman" w:cs="Times New Roman"/>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w:t>
            </w:r>
            <w:proofErr w:type="gramStart"/>
            <w:r w:rsidR="003A6646" w:rsidRPr="00D96752">
              <w:rPr>
                <w:rFonts w:ascii="Times New Roman" w:hAnsi="Times New Roman" w:cs="Times New Roman"/>
                <w:bCs/>
                <w:color w:val="000000" w:themeColor="text1"/>
                <w:lang w:val="ro-MD"/>
              </w:rPr>
              <w:t>eveniment</w:t>
            </w:r>
            <w:proofErr w:type="gramEnd"/>
            <w:r w:rsidR="003A6646" w:rsidRPr="00D96752">
              <w:rPr>
                <w:rFonts w:ascii="Times New Roman" w:hAnsi="Times New Roman" w:cs="Times New Roman"/>
                <w:bCs/>
                <w:color w:val="000000" w:themeColor="text1"/>
                <w:lang w:val="ro-MD"/>
              </w:rPr>
              <w:t xml:space="preserve"> de risc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orice eveniment legat de un risc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bCs/>
                <w:color w:val="000000" w:themeColor="text1"/>
                <w:lang w:val="ro-MD"/>
              </w:rPr>
              <w:t xml:space="preserve"> care genereaz</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o pierdere sau pierderi multiple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 cursul unuia sau mai multor </w:t>
            </w:r>
            <w:proofErr w:type="spellStart"/>
            <w:r w:rsidR="003A6646" w:rsidRPr="00D96752">
              <w:rPr>
                <w:rFonts w:ascii="Times New Roman" w:hAnsi="Times New Roman" w:cs="Times New Roman"/>
                <w:bCs/>
                <w:color w:val="000000" w:themeColor="text1"/>
                <w:lang w:val="ro-MD"/>
              </w:rPr>
              <w:t>exerci</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ii</w:t>
            </w:r>
            <w:proofErr w:type="spellEnd"/>
            <w:r w:rsidR="003A6646" w:rsidRPr="00D96752">
              <w:rPr>
                <w:rFonts w:ascii="Times New Roman" w:hAnsi="Times New Roman" w:cs="Times New Roman"/>
                <w:bCs/>
                <w:color w:val="000000" w:themeColor="text1"/>
                <w:lang w:val="ro-MD"/>
              </w:rPr>
              <w:t xml:space="preserve"> financiare;</w:t>
            </w:r>
          </w:p>
        </w:tc>
        <w:tc>
          <w:tcPr>
            <w:tcW w:w="580" w:type="pct"/>
          </w:tcPr>
          <w:p w14:paraId="13409CB4" w14:textId="53952A64" w:rsidR="003A6646" w:rsidRPr="00D96752" w:rsidRDefault="002B6BE8"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30C85A4B"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40A6AD3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3FC0399" w14:textId="6C344EBC"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 xml:space="preserve">2.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pierdere</w:t>
            </w:r>
            <w:proofErr w:type="gramEnd"/>
            <w:r w:rsidRPr="00D96752">
              <w:rPr>
                <w:rFonts w:ascii="Times New Roman" w:hAnsi="Times New Roman" w:cs="Times New Roman"/>
                <w:bCs/>
                <w:color w:val="000000" w:themeColor="text1"/>
                <w:lang w:val="ro-MD"/>
              </w:rPr>
              <w:t xml:space="preserve"> brut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agregat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suma tuturor pierderilor brute legate de acela</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eveniment de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cursul unuia sau mai multor </w:t>
            </w:r>
            <w:proofErr w:type="spellStart"/>
            <w:r w:rsidRPr="00D96752">
              <w:rPr>
                <w:rFonts w:ascii="Times New Roman" w:hAnsi="Times New Roman" w:cs="Times New Roman"/>
                <w:bCs/>
                <w:color w:val="000000" w:themeColor="text1"/>
                <w:lang w:val="ro-MD"/>
              </w:rPr>
              <w:t>exerci</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financiare;</w:t>
            </w:r>
          </w:p>
        </w:tc>
        <w:tc>
          <w:tcPr>
            <w:tcW w:w="1588" w:type="pct"/>
            <w:shd w:val="clear" w:color="auto" w:fill="auto"/>
          </w:tcPr>
          <w:p w14:paraId="5622E1F1" w14:textId="310759DE" w:rsidR="003A6646" w:rsidRPr="00D96752" w:rsidRDefault="00F10A21" w:rsidP="003A6646">
            <w:pPr>
              <w:spacing w:after="0" w:line="276" w:lineRule="auto"/>
              <w:jc w:val="both"/>
              <w:rPr>
                <w:rFonts w:ascii="Times New Roman" w:hAnsi="Times New Roman" w:cs="Times New Roman"/>
                <w:bCs/>
                <w:color w:val="000000" w:themeColor="text1"/>
                <w:lang w:val="ro-MD"/>
              </w:rPr>
            </w:pPr>
            <w:bookmarkStart w:id="11" w:name="_Hlk193094419"/>
            <w:r w:rsidRPr="00D96752">
              <w:rPr>
                <w:rFonts w:ascii="Times New Roman" w:hAnsi="Times New Roman" w:cs="Times New Roman"/>
                <w:bCs/>
                <w:color w:val="000000" w:themeColor="text1"/>
                <w:lang w:val="ro-MD"/>
              </w:rPr>
              <w:t>5.</w:t>
            </w:r>
            <w:r w:rsidR="00703DC9" w:rsidRPr="00D96752">
              <w:rPr>
                <w:rFonts w:ascii="Times New Roman" w:hAnsi="Times New Roman" w:cs="Times New Roman"/>
                <w:bCs/>
                <w:color w:val="000000" w:themeColor="text1"/>
                <w:lang w:val="ro-MD"/>
              </w:rPr>
              <w:t>2</w:t>
            </w:r>
            <w:r w:rsidR="00E63C25" w:rsidRPr="00D96752">
              <w:rPr>
                <w:rFonts w:ascii="Times New Roman" w:hAnsi="Times New Roman" w:cs="Times New Roman"/>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w:t>
            </w:r>
            <w:proofErr w:type="gramStart"/>
            <w:r w:rsidR="003A6646" w:rsidRPr="00D96752">
              <w:rPr>
                <w:rFonts w:ascii="Times New Roman" w:hAnsi="Times New Roman" w:cs="Times New Roman"/>
                <w:bCs/>
                <w:color w:val="000000" w:themeColor="text1"/>
                <w:lang w:val="ro-MD"/>
              </w:rPr>
              <w:t>pierdere</w:t>
            </w:r>
            <w:proofErr w:type="gramEnd"/>
            <w:r w:rsidR="003A6646" w:rsidRPr="00D96752">
              <w:rPr>
                <w:rFonts w:ascii="Times New Roman" w:hAnsi="Times New Roman" w:cs="Times New Roman"/>
                <w:bCs/>
                <w:color w:val="000000" w:themeColor="text1"/>
                <w:lang w:val="ro-MD"/>
              </w:rPr>
              <w:t xml:space="preserve"> brut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agregat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suma tuturor pierderilor brute legate de acela</w:t>
            </w:r>
            <w:r w:rsidR="003A6646" w:rsidRPr="00D96752">
              <w:rPr>
                <w:rFonts w:ascii="Times New Roman" w:hAnsi="Times New Roman" w:cs="Times New Roman" w:hint="eastAsia"/>
                <w:bCs/>
                <w:color w:val="000000" w:themeColor="text1"/>
                <w:lang w:val="ro-MD"/>
              </w:rPr>
              <w:t>ș</w:t>
            </w:r>
            <w:r w:rsidR="003A6646" w:rsidRPr="00D96752">
              <w:rPr>
                <w:rFonts w:ascii="Times New Roman" w:hAnsi="Times New Roman" w:cs="Times New Roman"/>
                <w:bCs/>
                <w:color w:val="000000" w:themeColor="text1"/>
                <w:lang w:val="ro-MD"/>
              </w:rPr>
              <w:t xml:space="preserve">i eveniment de risc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 cursul unuia sau mai multor </w:t>
            </w:r>
            <w:proofErr w:type="spellStart"/>
            <w:r w:rsidR="003A6646" w:rsidRPr="00D96752">
              <w:rPr>
                <w:rFonts w:ascii="Times New Roman" w:hAnsi="Times New Roman" w:cs="Times New Roman"/>
                <w:bCs/>
                <w:color w:val="000000" w:themeColor="text1"/>
                <w:lang w:val="ro-MD"/>
              </w:rPr>
              <w:t>exerci</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ii</w:t>
            </w:r>
            <w:proofErr w:type="spellEnd"/>
            <w:r w:rsidR="003A6646" w:rsidRPr="00D96752">
              <w:rPr>
                <w:rFonts w:ascii="Times New Roman" w:hAnsi="Times New Roman" w:cs="Times New Roman"/>
                <w:bCs/>
                <w:color w:val="000000" w:themeColor="text1"/>
                <w:lang w:val="ro-MD"/>
              </w:rPr>
              <w:t xml:space="preserve"> financiare;</w:t>
            </w:r>
            <w:bookmarkEnd w:id="11"/>
          </w:p>
        </w:tc>
        <w:tc>
          <w:tcPr>
            <w:tcW w:w="580" w:type="pct"/>
          </w:tcPr>
          <w:p w14:paraId="1342C0D5" w14:textId="7E7598B2"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02EC5C89"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24474063"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1A9DE7F" w14:textId="2395C684"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3.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pierdere</w:t>
            </w:r>
            <w:proofErr w:type="gramEnd"/>
            <w:r w:rsidRPr="00D96752">
              <w:rPr>
                <w:rFonts w:ascii="Times New Roman" w:hAnsi="Times New Roman" w:cs="Times New Roman"/>
                <w:bCs/>
                <w:color w:val="000000" w:themeColor="text1"/>
                <w:lang w:val="ro-MD"/>
              </w:rPr>
              <w:t xml:space="preserve"> net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agregat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suma tuturor pierderilor nete legate de acela</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 xml:space="preserve">i eveniment de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 cursul unuia sau mai multor </w:t>
            </w:r>
            <w:proofErr w:type="spellStart"/>
            <w:r w:rsidRPr="00D96752">
              <w:rPr>
                <w:rFonts w:ascii="Times New Roman" w:hAnsi="Times New Roman" w:cs="Times New Roman"/>
                <w:bCs/>
                <w:color w:val="000000" w:themeColor="text1"/>
                <w:lang w:val="ro-MD"/>
              </w:rPr>
              <w:t>exerci</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ii</w:t>
            </w:r>
            <w:proofErr w:type="spellEnd"/>
            <w:r w:rsidRPr="00D96752">
              <w:rPr>
                <w:rFonts w:ascii="Times New Roman" w:hAnsi="Times New Roman" w:cs="Times New Roman"/>
                <w:bCs/>
                <w:color w:val="000000" w:themeColor="text1"/>
                <w:lang w:val="ro-MD"/>
              </w:rPr>
              <w:t xml:space="preserve"> financiare;</w:t>
            </w:r>
          </w:p>
        </w:tc>
        <w:tc>
          <w:tcPr>
            <w:tcW w:w="1588" w:type="pct"/>
            <w:shd w:val="clear" w:color="auto" w:fill="auto"/>
          </w:tcPr>
          <w:p w14:paraId="5CC97518" w14:textId="020F5585" w:rsidR="003A6646" w:rsidRPr="00D96752" w:rsidRDefault="002B6BE8" w:rsidP="003A6646">
            <w:pPr>
              <w:spacing w:after="0" w:line="276" w:lineRule="auto"/>
              <w:jc w:val="both"/>
              <w:rPr>
                <w:rFonts w:ascii="Times New Roman" w:hAnsi="Times New Roman" w:cs="Times New Roman"/>
                <w:bCs/>
                <w:color w:val="000000" w:themeColor="text1"/>
                <w:lang w:val="ro-MD"/>
              </w:rPr>
            </w:pPr>
            <w:bookmarkStart w:id="12" w:name="_Hlk193094452"/>
            <w:r w:rsidRPr="00D96752">
              <w:rPr>
                <w:rFonts w:ascii="Times New Roman" w:hAnsi="Times New Roman" w:cs="Times New Roman"/>
                <w:bCs/>
                <w:color w:val="000000" w:themeColor="text1"/>
                <w:lang w:val="ro-MD"/>
              </w:rPr>
              <w:t>5.</w:t>
            </w:r>
            <w:r w:rsidR="00703DC9" w:rsidRPr="00D96752">
              <w:rPr>
                <w:rFonts w:ascii="Times New Roman" w:hAnsi="Times New Roman" w:cs="Times New Roman"/>
                <w:bCs/>
                <w:color w:val="000000" w:themeColor="text1"/>
                <w:lang w:val="ro-MD"/>
              </w:rPr>
              <w:t>3</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w:t>
            </w:r>
            <w:proofErr w:type="gramStart"/>
            <w:r w:rsidR="003A6646" w:rsidRPr="00D96752">
              <w:rPr>
                <w:rFonts w:ascii="Times New Roman" w:hAnsi="Times New Roman" w:cs="Times New Roman"/>
                <w:bCs/>
                <w:color w:val="000000" w:themeColor="text1"/>
                <w:lang w:val="ro-MD"/>
              </w:rPr>
              <w:t>pierdere</w:t>
            </w:r>
            <w:proofErr w:type="gramEnd"/>
            <w:r w:rsidR="003A6646" w:rsidRPr="00D96752">
              <w:rPr>
                <w:rFonts w:ascii="Times New Roman" w:hAnsi="Times New Roman" w:cs="Times New Roman"/>
                <w:bCs/>
                <w:color w:val="000000" w:themeColor="text1"/>
                <w:lang w:val="ro-MD"/>
              </w:rPr>
              <w:t xml:space="preserve"> net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agregat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suma tuturor pierderilor nete legate de acela</w:t>
            </w:r>
            <w:r w:rsidR="003A6646" w:rsidRPr="00D96752">
              <w:rPr>
                <w:rFonts w:ascii="Times New Roman" w:hAnsi="Times New Roman" w:cs="Times New Roman" w:hint="eastAsia"/>
                <w:bCs/>
                <w:color w:val="000000" w:themeColor="text1"/>
                <w:lang w:val="ro-MD"/>
              </w:rPr>
              <w:t>ș</w:t>
            </w:r>
            <w:r w:rsidR="003A6646" w:rsidRPr="00D96752">
              <w:rPr>
                <w:rFonts w:ascii="Times New Roman" w:hAnsi="Times New Roman" w:cs="Times New Roman"/>
                <w:bCs/>
                <w:color w:val="000000" w:themeColor="text1"/>
                <w:lang w:val="ro-MD"/>
              </w:rPr>
              <w:t xml:space="preserve">i eveniment de risc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 cursul unuia sau mai multor </w:t>
            </w:r>
            <w:proofErr w:type="spellStart"/>
            <w:r w:rsidR="003A6646" w:rsidRPr="00D96752">
              <w:rPr>
                <w:rFonts w:ascii="Times New Roman" w:hAnsi="Times New Roman" w:cs="Times New Roman"/>
                <w:bCs/>
                <w:color w:val="000000" w:themeColor="text1"/>
                <w:lang w:val="ro-MD"/>
              </w:rPr>
              <w:t>exerci</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ii</w:t>
            </w:r>
            <w:proofErr w:type="spellEnd"/>
            <w:r w:rsidR="003A6646" w:rsidRPr="00D96752">
              <w:rPr>
                <w:rFonts w:ascii="Times New Roman" w:hAnsi="Times New Roman" w:cs="Times New Roman"/>
                <w:bCs/>
                <w:color w:val="000000" w:themeColor="text1"/>
                <w:lang w:val="ro-MD"/>
              </w:rPr>
              <w:t xml:space="preserve"> financiare;</w:t>
            </w:r>
            <w:bookmarkEnd w:id="12"/>
          </w:p>
        </w:tc>
        <w:tc>
          <w:tcPr>
            <w:tcW w:w="580" w:type="pct"/>
          </w:tcPr>
          <w:p w14:paraId="379DF415" w14:textId="5C22A7EB"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41A9A5B7"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79B98D3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AE05992" w14:textId="4E0D4FF6"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4. </w:t>
            </w:r>
            <w:r w:rsidRPr="00D96752">
              <w:rPr>
                <w:rFonts w:ascii="Times New Roman" w:hAnsi="Times New Roman" w:cs="Times New Roman" w:hint="eastAsia"/>
                <w:bCs/>
                <w:color w:val="000000" w:themeColor="text1"/>
                <w:lang w:val="ro-MD"/>
              </w:rPr>
              <w:t>„</w:t>
            </w:r>
            <w:proofErr w:type="gramStart"/>
            <w:r w:rsidRPr="00D96752">
              <w:rPr>
                <w:rFonts w:ascii="Times New Roman" w:hAnsi="Times New Roman" w:cs="Times New Roman"/>
                <w:bCs/>
                <w:color w:val="000000" w:themeColor="text1"/>
                <w:lang w:val="ro-MD"/>
              </w:rPr>
              <w:t>pierderi</w:t>
            </w:r>
            <w:proofErr w:type="gramEnd"/>
            <w:r w:rsidRPr="00D96752">
              <w:rPr>
                <w:rFonts w:ascii="Times New Roman" w:hAnsi="Times New Roman" w:cs="Times New Roman"/>
                <w:bCs/>
                <w:color w:val="000000" w:themeColor="text1"/>
                <w:lang w:val="ro-MD"/>
              </w:rPr>
              <w:t xml:space="preserve"> grupate</w:t>
            </w:r>
            <w:r w:rsidRPr="00D96752">
              <w:rPr>
                <w:rFonts w:ascii="Times New Roman" w:hAnsi="Times New Roman" w:cs="Times New Roman" w:hint="eastAsia"/>
                <w:bCs/>
                <w:color w:val="000000" w:themeColor="text1"/>
                <w:lang w:val="ro-MD"/>
              </w:rPr>
              <w:t>”</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nseamn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toate pierderile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ionale</w:t>
            </w:r>
            <w:proofErr w:type="spellEnd"/>
            <w:r w:rsidRPr="00D96752">
              <w:rPr>
                <w:rFonts w:ascii="Times New Roman" w:hAnsi="Times New Roman" w:cs="Times New Roman"/>
                <w:bCs/>
                <w:color w:val="000000" w:themeColor="text1"/>
                <w:lang w:val="ro-MD"/>
              </w:rPr>
              <w:t xml:space="preserve"> determinate de un declan</w:t>
            </w:r>
            <w:r w:rsidRPr="00D96752">
              <w:rPr>
                <w:rFonts w:ascii="Times New Roman" w:hAnsi="Times New Roman" w:cs="Times New Roman" w:hint="eastAsia"/>
                <w:bCs/>
                <w:color w:val="000000" w:themeColor="text1"/>
                <w:lang w:val="ro-MD"/>
              </w:rPr>
              <w:t>ș</w:t>
            </w:r>
            <w:r w:rsidRPr="00D96752">
              <w:rPr>
                <w:rFonts w:ascii="Times New Roman" w:hAnsi="Times New Roman" w:cs="Times New Roman"/>
                <w:bCs/>
                <w:color w:val="000000" w:themeColor="text1"/>
                <w:lang w:val="ro-MD"/>
              </w:rPr>
              <w:t>ator-suport comun sau o cauz</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profund</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comun</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care ar putea fi grupate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 xml:space="preserve">ntr-un singur eveniment de risc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w:t>
            </w:r>
          </w:p>
        </w:tc>
        <w:tc>
          <w:tcPr>
            <w:tcW w:w="1588" w:type="pct"/>
            <w:shd w:val="clear" w:color="auto" w:fill="auto"/>
          </w:tcPr>
          <w:p w14:paraId="2BD8F61B" w14:textId="215087D1" w:rsidR="003A6646" w:rsidRPr="00D96752" w:rsidRDefault="002B6BE8" w:rsidP="003A6646">
            <w:pPr>
              <w:spacing w:after="0" w:line="276" w:lineRule="auto"/>
              <w:jc w:val="both"/>
              <w:rPr>
                <w:rFonts w:ascii="Times New Roman" w:hAnsi="Times New Roman" w:cs="Times New Roman"/>
                <w:bCs/>
                <w:color w:val="000000" w:themeColor="text1"/>
                <w:lang w:val="ro-MD"/>
              </w:rPr>
            </w:pPr>
            <w:bookmarkStart w:id="13" w:name="_Hlk193094488"/>
            <w:r w:rsidRPr="00D96752">
              <w:rPr>
                <w:rFonts w:ascii="Times New Roman" w:hAnsi="Times New Roman" w:cs="Times New Roman"/>
                <w:bCs/>
                <w:color w:val="000000" w:themeColor="text1"/>
                <w:lang w:val="ro-MD"/>
              </w:rPr>
              <w:t>5.</w:t>
            </w:r>
            <w:r w:rsidR="00703DC9" w:rsidRPr="00D96752">
              <w:rPr>
                <w:rFonts w:ascii="Times New Roman" w:hAnsi="Times New Roman" w:cs="Times New Roman"/>
                <w:bCs/>
                <w:color w:val="000000" w:themeColor="text1"/>
                <w:lang w:val="ro-MD"/>
              </w:rPr>
              <w:t>4</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w:t>
            </w:r>
            <w:proofErr w:type="gramStart"/>
            <w:r w:rsidR="003A6646" w:rsidRPr="00D96752">
              <w:rPr>
                <w:rFonts w:ascii="Times New Roman" w:hAnsi="Times New Roman" w:cs="Times New Roman"/>
                <w:bCs/>
                <w:color w:val="000000" w:themeColor="text1"/>
                <w:lang w:val="ro-MD"/>
              </w:rPr>
              <w:t>pierderi</w:t>
            </w:r>
            <w:proofErr w:type="gramEnd"/>
            <w:r w:rsidR="003A6646" w:rsidRPr="00D96752">
              <w:rPr>
                <w:rFonts w:ascii="Times New Roman" w:hAnsi="Times New Roman" w:cs="Times New Roman"/>
                <w:bCs/>
                <w:color w:val="000000" w:themeColor="text1"/>
                <w:lang w:val="ro-MD"/>
              </w:rPr>
              <w:t xml:space="preserve"> grupate</w:t>
            </w:r>
            <w:r w:rsidR="003A6646" w:rsidRPr="00D96752">
              <w:rPr>
                <w:rFonts w:ascii="Times New Roman" w:hAnsi="Times New Roman" w:cs="Times New Roman" w:hint="eastAsia"/>
                <w:bCs/>
                <w:color w:val="000000" w:themeColor="text1"/>
                <w:lang w:val="ro-MD"/>
              </w:rPr>
              <w:t>”</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nseamn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toate pierderile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ionale</w:t>
            </w:r>
            <w:proofErr w:type="spellEnd"/>
            <w:r w:rsidR="003A6646" w:rsidRPr="00D96752">
              <w:rPr>
                <w:rFonts w:ascii="Times New Roman" w:hAnsi="Times New Roman" w:cs="Times New Roman"/>
                <w:bCs/>
                <w:color w:val="000000" w:themeColor="text1"/>
                <w:lang w:val="ro-MD"/>
              </w:rPr>
              <w:t xml:space="preserve"> determinate de un declan</w:t>
            </w:r>
            <w:r w:rsidR="003A6646" w:rsidRPr="00D96752">
              <w:rPr>
                <w:rFonts w:ascii="Times New Roman" w:hAnsi="Times New Roman" w:cs="Times New Roman" w:hint="eastAsia"/>
                <w:bCs/>
                <w:color w:val="000000" w:themeColor="text1"/>
                <w:lang w:val="ro-MD"/>
              </w:rPr>
              <w:t>ș</w:t>
            </w:r>
            <w:r w:rsidR="003A6646" w:rsidRPr="00D96752">
              <w:rPr>
                <w:rFonts w:ascii="Times New Roman" w:hAnsi="Times New Roman" w:cs="Times New Roman"/>
                <w:bCs/>
                <w:color w:val="000000" w:themeColor="text1"/>
                <w:lang w:val="ro-MD"/>
              </w:rPr>
              <w:t>ator-suport comun sau o cauz</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profund</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comun</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care ar putea fi grupate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ntr-un singur eveniment de risc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bCs/>
                <w:color w:val="000000" w:themeColor="text1"/>
                <w:lang w:val="ro-MD"/>
              </w:rPr>
              <w:t>.</w:t>
            </w:r>
            <w:bookmarkEnd w:id="13"/>
          </w:p>
        </w:tc>
        <w:tc>
          <w:tcPr>
            <w:tcW w:w="580" w:type="pct"/>
          </w:tcPr>
          <w:p w14:paraId="3D6628E6" w14:textId="579FC719"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33BD726"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7CDA5C12"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40B8681" w14:textId="77777777" w:rsidR="003A6646" w:rsidRPr="00D96752" w:rsidRDefault="003A6646" w:rsidP="003A6646">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312</w:t>
            </w:r>
          </w:p>
          <w:p w14:paraId="79340490" w14:textId="77777777" w:rsidR="003A6646" w:rsidRPr="00D96752" w:rsidRDefault="003A6646" w:rsidP="003A6646">
            <w:pPr>
              <w:spacing w:after="0" w:line="276" w:lineRule="auto"/>
              <w:jc w:val="both"/>
              <w:rPr>
                <w:rFonts w:ascii="Times New Roman" w:hAnsi="Times New Roman" w:cs="Times New Roman"/>
                <w:b/>
                <w:bCs/>
                <w:color w:val="000000" w:themeColor="text1"/>
                <w:lang w:val="ro-MD"/>
              </w:rPr>
            </w:pPr>
            <w:proofErr w:type="spellStart"/>
            <w:r w:rsidRPr="00D96752">
              <w:rPr>
                <w:rFonts w:ascii="Times New Roman" w:hAnsi="Times New Roman" w:cs="Times New Roman"/>
                <w:b/>
                <w:bCs/>
                <w:color w:val="000000" w:themeColor="text1"/>
                <w:lang w:val="ro-MD"/>
              </w:rPr>
              <w:t>Cerinţa</w:t>
            </w:r>
            <w:proofErr w:type="spellEnd"/>
            <w:r w:rsidRPr="00D96752">
              <w:rPr>
                <w:rFonts w:ascii="Times New Roman" w:hAnsi="Times New Roman" w:cs="Times New Roman"/>
                <w:b/>
                <w:bCs/>
                <w:color w:val="000000" w:themeColor="text1"/>
                <w:lang w:val="ro-MD"/>
              </w:rPr>
              <w:t xml:space="preserve"> de fonduri proprii pentru riscul </w:t>
            </w:r>
            <w:proofErr w:type="spellStart"/>
            <w:r w:rsidRPr="00D96752">
              <w:rPr>
                <w:rFonts w:ascii="Times New Roman" w:hAnsi="Times New Roman" w:cs="Times New Roman"/>
                <w:b/>
                <w:bCs/>
                <w:color w:val="000000" w:themeColor="text1"/>
                <w:lang w:val="ro-MD"/>
              </w:rPr>
              <w:t>operaţional</w:t>
            </w:r>
            <w:proofErr w:type="spellEnd"/>
          </w:p>
          <w:p w14:paraId="6672A313" w14:textId="643F415A" w:rsidR="003A6646" w:rsidRPr="00D96752" w:rsidRDefault="003A6646" w:rsidP="003A6646">
            <w:pPr>
              <w:spacing w:after="0" w:line="276" w:lineRule="auto"/>
              <w:jc w:val="both"/>
              <w:rPr>
                <w:rFonts w:ascii="Times New Roman" w:hAnsi="Times New Roman" w:cs="Times New Roman"/>
                <w:bCs/>
                <w:color w:val="000000" w:themeColor="text1"/>
                <w:lang w:val="ro-MD"/>
              </w:rPr>
            </w:pPr>
            <w:proofErr w:type="spellStart"/>
            <w:r w:rsidRPr="00D96752">
              <w:rPr>
                <w:rFonts w:ascii="Times New Roman" w:hAnsi="Times New Roman" w:cs="Times New Roman"/>
                <w:bCs/>
                <w:color w:val="000000" w:themeColor="text1"/>
                <w:lang w:val="ro-MD"/>
              </w:rPr>
              <w:t>Cerin</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a</w:t>
            </w:r>
            <w:proofErr w:type="spellEnd"/>
            <w:r w:rsidRPr="00D96752">
              <w:rPr>
                <w:rFonts w:ascii="Times New Roman" w:hAnsi="Times New Roman" w:cs="Times New Roman"/>
                <w:bCs/>
                <w:color w:val="000000" w:themeColor="text1"/>
                <w:lang w:val="ro-MD"/>
              </w:rPr>
              <w:t xml:space="preserve"> de fonduri proprii pentru riscul </w:t>
            </w:r>
            <w:proofErr w:type="spellStart"/>
            <w:r w:rsidRPr="00D96752">
              <w:rPr>
                <w:rFonts w:ascii="Times New Roman" w:hAnsi="Times New Roman" w:cs="Times New Roman"/>
                <w:bCs/>
                <w:color w:val="000000" w:themeColor="text1"/>
                <w:lang w:val="ro-MD"/>
              </w:rPr>
              <w:t>opera</w:t>
            </w:r>
            <w:r w:rsidRPr="00D96752">
              <w:rPr>
                <w:rFonts w:ascii="Times New Roman" w:hAnsi="Times New Roman" w:cs="Times New Roman" w:hint="eastAsia"/>
                <w:bCs/>
                <w:color w:val="000000" w:themeColor="text1"/>
                <w:lang w:val="ro-MD"/>
              </w:rPr>
              <w:t>ţ</w:t>
            </w:r>
            <w:r w:rsidRPr="00D96752">
              <w:rPr>
                <w:rFonts w:ascii="Times New Roman" w:hAnsi="Times New Roman" w:cs="Times New Roman"/>
                <w:bCs/>
                <w:color w:val="000000" w:themeColor="text1"/>
                <w:lang w:val="ro-MD"/>
              </w:rPr>
              <w:t>ional</w:t>
            </w:r>
            <w:proofErr w:type="spellEnd"/>
            <w:r w:rsidRPr="00D96752">
              <w:rPr>
                <w:rFonts w:ascii="Times New Roman" w:hAnsi="Times New Roman" w:cs="Times New Roman"/>
                <w:bCs/>
                <w:color w:val="000000" w:themeColor="text1"/>
                <w:lang w:val="ro-MD"/>
              </w:rPr>
              <w:t xml:space="preserve"> este componenta indicatorului de activitate calculat</w:t>
            </w:r>
            <w:r w:rsidRPr="00D96752">
              <w:rPr>
                <w:rFonts w:ascii="Times New Roman" w:hAnsi="Times New Roman" w:cs="Times New Roman" w:hint="eastAsia"/>
                <w:bCs/>
                <w:color w:val="000000" w:themeColor="text1"/>
                <w:lang w:val="ro-MD"/>
              </w:rPr>
              <w:t>ă</w:t>
            </w:r>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hint="eastAsia"/>
                <w:bCs/>
                <w:color w:val="000000" w:themeColor="text1"/>
                <w:lang w:val="ro-MD"/>
              </w:rPr>
              <w:t>î</w:t>
            </w:r>
            <w:r w:rsidRPr="00D96752">
              <w:rPr>
                <w:rFonts w:ascii="Times New Roman" w:hAnsi="Times New Roman" w:cs="Times New Roman"/>
                <w:bCs/>
                <w:color w:val="000000" w:themeColor="text1"/>
                <w:lang w:val="ro-MD"/>
              </w:rPr>
              <w:t>n conformitate cu articolul 313.</w:t>
            </w:r>
          </w:p>
        </w:tc>
        <w:tc>
          <w:tcPr>
            <w:tcW w:w="1588" w:type="pct"/>
            <w:shd w:val="clear" w:color="auto" w:fill="auto"/>
          </w:tcPr>
          <w:p w14:paraId="26D3DFAE" w14:textId="77777777" w:rsidR="00B3526D" w:rsidRPr="00D96752" w:rsidRDefault="00B3526D" w:rsidP="00B3526D">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Cs/>
                <w:color w:val="000000" w:themeColor="text1"/>
                <w:lang w:val="ro-MD"/>
              </w:rPr>
              <w:t xml:space="preserve">CAPITOLUL II </w:t>
            </w:r>
            <w:r w:rsidRPr="00D96752">
              <w:rPr>
                <w:rFonts w:ascii="Times New Roman" w:hAnsi="Times New Roman" w:cs="Times New Roman"/>
                <w:b/>
                <w:bCs/>
                <w:color w:val="000000" w:themeColor="text1"/>
                <w:lang w:val="ro-MD"/>
              </w:rPr>
              <w:t>CERINŢA DE FONDURI PROPRII PENTRU RISCUL OPERAŢIONAL</w:t>
            </w:r>
          </w:p>
          <w:p w14:paraId="3A195529" w14:textId="55ACE059" w:rsidR="00EA7FAB" w:rsidRPr="00D96752" w:rsidRDefault="00EA7FAB" w:rsidP="003A6646">
            <w:pPr>
              <w:spacing w:after="0" w:line="276" w:lineRule="auto"/>
              <w:jc w:val="both"/>
              <w:rPr>
                <w:rFonts w:ascii="Times New Roman" w:hAnsi="Times New Roman" w:cs="Times New Roman"/>
                <w:b/>
                <w:bCs/>
                <w:color w:val="000000" w:themeColor="text1"/>
                <w:lang w:val="ro-MD"/>
              </w:rPr>
            </w:pPr>
            <w:bookmarkStart w:id="14" w:name="_Hlk193094590"/>
            <w:r w:rsidRPr="00D96752">
              <w:rPr>
                <w:rFonts w:ascii="Times New Roman" w:hAnsi="Times New Roman" w:cs="Times New Roman"/>
                <w:b/>
                <w:bCs/>
                <w:color w:val="000000" w:themeColor="text1"/>
                <w:lang w:val="ro-MD"/>
              </w:rPr>
              <w:t xml:space="preserve">Secțiunea 1. Calculul cerinței de fonduri proprii pentru riscul </w:t>
            </w:r>
            <w:proofErr w:type="spellStart"/>
            <w:r w:rsidRPr="00D96752">
              <w:rPr>
                <w:rFonts w:ascii="Times New Roman" w:hAnsi="Times New Roman" w:cs="Times New Roman"/>
                <w:b/>
                <w:bCs/>
                <w:color w:val="000000" w:themeColor="text1"/>
                <w:lang w:val="ro-MD"/>
              </w:rPr>
              <w:t>operaţional</w:t>
            </w:r>
            <w:proofErr w:type="spellEnd"/>
          </w:p>
          <w:p w14:paraId="56E6EF83" w14:textId="2EF0B7CD" w:rsidR="003A6646" w:rsidRPr="00D96752" w:rsidRDefault="00B06998" w:rsidP="003A6646">
            <w:pPr>
              <w:spacing w:after="0" w:line="276" w:lineRule="auto"/>
              <w:jc w:val="both"/>
              <w:rPr>
                <w:rFonts w:ascii="Times New Roman" w:hAnsi="Times New Roman" w:cs="Times New Roman"/>
                <w:bCs/>
                <w:color w:val="000000" w:themeColor="text1"/>
                <w:lang w:val="ro-MD"/>
              </w:rPr>
            </w:pPr>
            <w:bookmarkStart w:id="15" w:name="_Hlk193095687"/>
            <w:bookmarkEnd w:id="14"/>
            <w:r w:rsidRPr="00D96752">
              <w:rPr>
                <w:rFonts w:ascii="Times New Roman" w:hAnsi="Times New Roman" w:cs="Times New Roman"/>
                <w:bCs/>
                <w:color w:val="000000" w:themeColor="text1"/>
                <w:lang w:val="ro-MD"/>
              </w:rPr>
              <w:t xml:space="preserve">6. </w:t>
            </w:r>
            <w:proofErr w:type="spellStart"/>
            <w:r w:rsidR="003A6646" w:rsidRPr="00D96752">
              <w:rPr>
                <w:rFonts w:ascii="Times New Roman" w:hAnsi="Times New Roman" w:cs="Times New Roman"/>
                <w:bCs/>
                <w:color w:val="000000" w:themeColor="text1"/>
                <w:lang w:val="ro-MD"/>
              </w:rPr>
              <w:t>Cerin</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a</w:t>
            </w:r>
            <w:proofErr w:type="spellEnd"/>
            <w:r w:rsidR="003A6646" w:rsidRPr="00D96752">
              <w:rPr>
                <w:rFonts w:ascii="Times New Roman" w:hAnsi="Times New Roman" w:cs="Times New Roman"/>
                <w:bCs/>
                <w:color w:val="000000" w:themeColor="text1"/>
                <w:lang w:val="ro-MD"/>
              </w:rPr>
              <w:t xml:space="preserve"> de fonduri proprii pentru riscul </w:t>
            </w:r>
            <w:proofErr w:type="spellStart"/>
            <w:r w:rsidR="003A6646" w:rsidRPr="00D96752">
              <w:rPr>
                <w:rFonts w:ascii="Times New Roman" w:hAnsi="Times New Roman" w:cs="Times New Roman"/>
                <w:bCs/>
                <w:color w:val="000000" w:themeColor="text1"/>
                <w:lang w:val="ro-MD"/>
              </w:rPr>
              <w:t>opera</w:t>
            </w:r>
            <w:r w:rsidR="003A6646" w:rsidRPr="00D96752">
              <w:rPr>
                <w:rFonts w:ascii="Times New Roman" w:hAnsi="Times New Roman" w:cs="Times New Roman" w:hint="eastAsia"/>
                <w:bCs/>
                <w:color w:val="000000" w:themeColor="text1"/>
                <w:lang w:val="ro-MD"/>
              </w:rPr>
              <w:t>ţ</w:t>
            </w:r>
            <w:r w:rsidR="003A6646" w:rsidRPr="00D96752">
              <w:rPr>
                <w:rFonts w:ascii="Times New Roman" w:hAnsi="Times New Roman" w:cs="Times New Roman"/>
                <w:bCs/>
                <w:color w:val="000000" w:themeColor="text1"/>
                <w:lang w:val="ro-MD"/>
              </w:rPr>
              <w:t>ional</w:t>
            </w:r>
            <w:proofErr w:type="spellEnd"/>
            <w:r w:rsidR="003A6646" w:rsidRPr="00D96752">
              <w:rPr>
                <w:rFonts w:ascii="Times New Roman" w:hAnsi="Times New Roman" w:cs="Times New Roman"/>
                <w:bCs/>
                <w:color w:val="000000" w:themeColor="text1"/>
                <w:lang w:val="ro-MD"/>
              </w:rPr>
              <w:t xml:space="preserve"> este componenta indicatorului de activitate calculat</w:t>
            </w:r>
            <w:r w:rsidR="003A6646" w:rsidRPr="00D96752">
              <w:rPr>
                <w:rFonts w:ascii="Times New Roman" w:hAnsi="Times New Roman" w:cs="Times New Roman" w:hint="eastAsia"/>
                <w:bCs/>
                <w:color w:val="000000" w:themeColor="text1"/>
                <w:lang w:val="ro-MD"/>
              </w:rPr>
              <w:t>ă</w:t>
            </w:r>
            <w:r w:rsidR="003A6646" w:rsidRPr="00D96752">
              <w:rPr>
                <w:rFonts w:ascii="Times New Roman" w:hAnsi="Times New Roman" w:cs="Times New Roman"/>
                <w:bCs/>
                <w:color w:val="000000" w:themeColor="text1"/>
                <w:lang w:val="ro-MD"/>
              </w:rPr>
              <w:t xml:space="preserve"> </w:t>
            </w:r>
            <w:r w:rsidR="003A6646" w:rsidRPr="00D96752">
              <w:rPr>
                <w:rFonts w:ascii="Times New Roman" w:hAnsi="Times New Roman" w:cs="Times New Roman" w:hint="eastAsia"/>
                <w:bCs/>
                <w:color w:val="000000" w:themeColor="text1"/>
                <w:lang w:val="ro-MD"/>
              </w:rPr>
              <w:t>î</w:t>
            </w:r>
            <w:r w:rsidR="003A6646" w:rsidRPr="00D96752">
              <w:rPr>
                <w:rFonts w:ascii="Times New Roman" w:hAnsi="Times New Roman" w:cs="Times New Roman"/>
                <w:bCs/>
                <w:color w:val="000000" w:themeColor="text1"/>
                <w:lang w:val="ro-MD"/>
              </w:rPr>
              <w:t xml:space="preserve">n conformitate cu </w:t>
            </w:r>
            <w:r w:rsidRPr="00D96752">
              <w:rPr>
                <w:rFonts w:ascii="Times New Roman" w:hAnsi="Times New Roman" w:cs="Times New Roman"/>
                <w:bCs/>
                <w:color w:val="000000" w:themeColor="text1"/>
                <w:lang w:val="ro-MD"/>
              </w:rPr>
              <w:t>pct.7</w:t>
            </w:r>
            <w:r w:rsidR="003A6646" w:rsidRPr="00D96752">
              <w:rPr>
                <w:rFonts w:ascii="Times New Roman" w:hAnsi="Times New Roman" w:cs="Times New Roman"/>
                <w:bCs/>
                <w:color w:val="000000" w:themeColor="text1"/>
                <w:lang w:val="ro-MD"/>
              </w:rPr>
              <w:t>.</w:t>
            </w:r>
            <w:bookmarkEnd w:id="15"/>
          </w:p>
        </w:tc>
        <w:tc>
          <w:tcPr>
            <w:tcW w:w="580" w:type="pct"/>
          </w:tcPr>
          <w:p w14:paraId="747F45BC" w14:textId="4343BD7B"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51A332A2"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703DC9" w:rsidRPr="00D96752" w14:paraId="6CF69942" w14:textId="77777777" w:rsidTr="00DD5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5"/>
        </w:trPr>
        <w:tc>
          <w:tcPr>
            <w:tcW w:w="1583" w:type="pct"/>
            <w:shd w:val="clear" w:color="auto" w:fill="auto"/>
          </w:tcPr>
          <w:p w14:paraId="57C097A9" w14:textId="77777777" w:rsidR="00703DC9" w:rsidRPr="00D96752" w:rsidRDefault="00703DC9" w:rsidP="003A6646">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lastRenderedPageBreak/>
              <w:t>Articolul 313</w:t>
            </w:r>
          </w:p>
          <w:p w14:paraId="12871A72" w14:textId="77777777" w:rsidR="00703DC9" w:rsidRPr="00D96752" w:rsidRDefault="00703DC9" w:rsidP="003A6646">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Componenta indicatorului de activitate</w:t>
            </w:r>
          </w:p>
          <w:p w14:paraId="226D9866" w14:textId="77777777" w:rsidR="00703DC9" w:rsidRPr="00D96752" w:rsidRDefault="00703DC9" w:rsidP="003A6646">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color w:val="000000" w:themeColor="text1"/>
                <w:lang w:val="ro-MD"/>
              </w:rPr>
              <w:t>Instituțiile își calculează componenta indicatorului de activitate conform următoarei formule:</w:t>
            </w:r>
          </w:p>
          <w:p w14:paraId="617C429D"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noProof/>
                <w:color w:val="000000" w:themeColor="text1"/>
              </w:rPr>
              <w:drawing>
                <wp:inline distT="0" distB="0" distL="0" distR="0" wp14:anchorId="474BA49D" wp14:editId="3BF6F8C5">
                  <wp:extent cx="3055620" cy="527050"/>
                  <wp:effectExtent l="0" t="0" r="0" b="635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527050"/>
                          </a:xfrm>
                          <a:prstGeom prst="rect">
                            <a:avLst/>
                          </a:prstGeom>
                          <a:noFill/>
                          <a:ln>
                            <a:noFill/>
                          </a:ln>
                        </pic:spPr>
                      </pic:pic>
                    </a:graphicData>
                  </a:graphic>
                </wp:inline>
              </w:drawing>
            </w:r>
          </w:p>
          <w:p w14:paraId="77147EC3"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7"/>
              <w:gridCol w:w="4426"/>
            </w:tblGrid>
            <w:tr w:rsidR="00703DC9" w:rsidRPr="00D96752" w14:paraId="22FEF2F9" w14:textId="77777777" w:rsidTr="00AC08C7">
              <w:tc>
                <w:tcPr>
                  <w:tcW w:w="762" w:type="dxa"/>
                  <w:shd w:val="clear" w:color="auto" w:fill="FFFFFF"/>
                  <w:hideMark/>
                </w:tcPr>
                <w:p w14:paraId="684FF719"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BIC</w:t>
                  </w:r>
                </w:p>
              </w:tc>
              <w:tc>
                <w:tcPr>
                  <w:tcW w:w="8927" w:type="dxa"/>
                  <w:shd w:val="clear" w:color="auto" w:fill="FFFFFF"/>
                  <w:hideMark/>
                </w:tcPr>
                <w:p w14:paraId="5EC76873"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indicatorului de activitate;</w:t>
                  </w:r>
                </w:p>
              </w:tc>
            </w:tr>
          </w:tbl>
          <w:p w14:paraId="29BC0337" w14:textId="77777777" w:rsidR="00703DC9" w:rsidRPr="00D96752" w:rsidRDefault="00703DC9" w:rsidP="003A6646">
            <w:pPr>
              <w:spacing w:after="0" w:line="276" w:lineRule="auto"/>
              <w:jc w:val="both"/>
              <w:rPr>
                <w:rFonts w:ascii="Times New Roman" w:hAnsi="Times New Roman" w:cs="Times New Roman"/>
                <w:bCs/>
                <w:vanish/>
                <w:color w:val="000000" w:themeColor="text1"/>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1"/>
              <w:gridCol w:w="4692"/>
            </w:tblGrid>
            <w:tr w:rsidR="00703DC9" w:rsidRPr="00D96752" w14:paraId="716192DA" w14:textId="77777777" w:rsidTr="00AC08C7">
              <w:tc>
                <w:tcPr>
                  <w:tcW w:w="225" w:type="dxa"/>
                  <w:shd w:val="clear" w:color="auto" w:fill="FFFFFF"/>
                  <w:hideMark/>
                </w:tcPr>
                <w:p w14:paraId="2CD416C5"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BI</w:t>
                  </w:r>
                </w:p>
              </w:tc>
              <w:tc>
                <w:tcPr>
                  <w:tcW w:w="9464" w:type="dxa"/>
                  <w:shd w:val="clear" w:color="auto" w:fill="FFFFFF"/>
                  <w:hideMark/>
                </w:tcPr>
                <w:p w14:paraId="5F7A4979"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indicatorul de activitate, exprimat în miliarde de euro, calculat în conformitate cu articolul 314.</w:t>
                  </w:r>
                </w:p>
              </w:tc>
            </w:tr>
          </w:tbl>
          <w:p w14:paraId="1CE708C4" w14:textId="4630A725" w:rsidR="00703DC9" w:rsidRPr="00D96752" w:rsidRDefault="00703DC9" w:rsidP="003A6646">
            <w:pPr>
              <w:spacing w:after="0" w:line="276" w:lineRule="auto"/>
              <w:jc w:val="both"/>
              <w:rPr>
                <w:rFonts w:ascii="Times New Roman" w:hAnsi="Times New Roman" w:cs="Times New Roman"/>
                <w:bCs/>
                <w:i/>
                <w:iCs/>
                <w:color w:val="000000" w:themeColor="text1"/>
                <w:lang w:val="ro-MD"/>
              </w:rPr>
            </w:pPr>
          </w:p>
        </w:tc>
        <w:tc>
          <w:tcPr>
            <w:tcW w:w="1588" w:type="pct"/>
            <w:shd w:val="clear" w:color="auto" w:fill="auto"/>
          </w:tcPr>
          <w:p w14:paraId="747684DE"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7. </w:t>
            </w:r>
            <w:bookmarkStart w:id="16" w:name="_Hlk193285327"/>
            <w:r w:rsidRPr="00D96752">
              <w:rPr>
                <w:rFonts w:ascii="Times New Roman" w:hAnsi="Times New Roman" w:cs="Times New Roman"/>
                <w:bCs/>
                <w:color w:val="000000" w:themeColor="text1"/>
                <w:lang w:val="ro-MD"/>
              </w:rPr>
              <w:t>Băncile își calculează componenta indicatorului de activitate conform următoarei formule:</w:t>
            </w:r>
            <w:bookmarkEnd w:id="16"/>
          </w:p>
          <w:p w14:paraId="6AED40C8"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noProof/>
                <w:color w:val="000000" w:themeColor="text1"/>
              </w:rPr>
              <w:drawing>
                <wp:inline distT="0" distB="0" distL="0" distR="0" wp14:anchorId="7FCF3BDD" wp14:editId="4C388B3D">
                  <wp:extent cx="3055620" cy="527050"/>
                  <wp:effectExtent l="0" t="0" r="0" b="635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527050"/>
                          </a:xfrm>
                          <a:prstGeom prst="rect">
                            <a:avLst/>
                          </a:prstGeom>
                          <a:noFill/>
                          <a:ln>
                            <a:noFill/>
                          </a:ln>
                        </pic:spPr>
                      </pic:pic>
                    </a:graphicData>
                  </a:graphic>
                </wp:inline>
              </w:drawing>
            </w:r>
          </w:p>
          <w:p w14:paraId="2ADB2587"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bookmarkStart w:id="17" w:name="_Hlk193285370"/>
            <w:r w:rsidRPr="00D96752">
              <w:rPr>
                <w:rFonts w:ascii="Times New Roman" w:hAnsi="Times New Roman" w:cs="Times New Roman"/>
                <w:bCs/>
                <w:color w:val="000000" w:themeColor="text1"/>
                <w:lang w:val="ro-MD"/>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8"/>
              <w:gridCol w:w="4441"/>
            </w:tblGrid>
            <w:tr w:rsidR="00703DC9" w:rsidRPr="00D96752" w14:paraId="3992CD7A" w14:textId="77777777" w:rsidTr="00EB6DBC">
              <w:tc>
                <w:tcPr>
                  <w:tcW w:w="762" w:type="dxa"/>
                  <w:shd w:val="clear" w:color="auto" w:fill="FFFFFF"/>
                  <w:hideMark/>
                </w:tcPr>
                <w:p w14:paraId="343B8309"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BIC</w:t>
                  </w:r>
                </w:p>
              </w:tc>
              <w:tc>
                <w:tcPr>
                  <w:tcW w:w="8927" w:type="dxa"/>
                  <w:shd w:val="clear" w:color="auto" w:fill="FFFFFF"/>
                  <w:hideMark/>
                </w:tcPr>
                <w:p w14:paraId="6A1EC5AF"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indicatorului de activitate;</w:t>
                  </w:r>
                </w:p>
              </w:tc>
            </w:tr>
          </w:tbl>
          <w:p w14:paraId="4FE1814F" w14:textId="77777777" w:rsidR="00703DC9" w:rsidRPr="00D96752" w:rsidRDefault="00703DC9" w:rsidP="003A6646">
            <w:pPr>
              <w:spacing w:after="0" w:line="276" w:lineRule="auto"/>
              <w:jc w:val="both"/>
              <w:rPr>
                <w:rFonts w:ascii="Times New Roman" w:hAnsi="Times New Roman" w:cs="Times New Roman"/>
                <w:bCs/>
                <w:vanish/>
                <w:color w:val="000000" w:themeColor="text1"/>
                <w:lang w:val="ro-MD"/>
              </w:rPr>
            </w:pPr>
          </w:p>
          <w:tbl>
            <w:tblPr>
              <w:tblW w:w="4967" w:type="dxa"/>
              <w:shd w:val="clear" w:color="auto" w:fill="FFFFFF"/>
              <w:tblLayout w:type="fixed"/>
              <w:tblCellMar>
                <w:left w:w="0" w:type="dxa"/>
                <w:right w:w="0" w:type="dxa"/>
              </w:tblCellMar>
              <w:tblLook w:val="04A0" w:firstRow="1" w:lastRow="0" w:firstColumn="1" w:lastColumn="0" w:noHBand="0" w:noVBand="1"/>
            </w:tblPr>
            <w:tblGrid>
              <w:gridCol w:w="400"/>
              <w:gridCol w:w="4567"/>
            </w:tblGrid>
            <w:tr w:rsidR="00703DC9" w:rsidRPr="00D96752" w14:paraId="03C03573" w14:textId="77777777" w:rsidTr="00482F7C">
              <w:tc>
                <w:tcPr>
                  <w:tcW w:w="400" w:type="dxa"/>
                  <w:shd w:val="clear" w:color="auto" w:fill="FFFFFF"/>
                  <w:hideMark/>
                </w:tcPr>
                <w:p w14:paraId="192A9230"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BI</w:t>
                  </w:r>
                </w:p>
              </w:tc>
              <w:tc>
                <w:tcPr>
                  <w:tcW w:w="4567" w:type="dxa"/>
                  <w:shd w:val="clear" w:color="auto" w:fill="FFFFFF"/>
                  <w:hideMark/>
                </w:tcPr>
                <w:p w14:paraId="1136F0CA" w14:textId="77777777" w:rsidR="00703DC9" w:rsidRPr="00D96752" w:rsidRDefault="00703DC9"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w:t>
                  </w:r>
                  <w:bookmarkStart w:id="18" w:name="_Hlk193285855"/>
                  <w:r w:rsidRPr="00D96752">
                    <w:rPr>
                      <w:rFonts w:ascii="Times New Roman" w:hAnsi="Times New Roman" w:cs="Times New Roman"/>
                      <w:bCs/>
                      <w:color w:val="000000" w:themeColor="text1"/>
                      <w:lang w:val="ro-MD"/>
                    </w:rPr>
                    <w:t>indicatorul de activitate, exprimat în miliarde de lei moldovenești, calculat în conformitate cu secțiunea 2</w:t>
                  </w:r>
                  <w:bookmarkEnd w:id="18"/>
                  <w:r w:rsidRPr="00D96752">
                    <w:rPr>
                      <w:rFonts w:ascii="Times New Roman" w:hAnsi="Times New Roman" w:cs="Times New Roman"/>
                      <w:bCs/>
                      <w:color w:val="000000" w:themeColor="text1"/>
                      <w:lang w:val="ro-MD"/>
                    </w:rPr>
                    <w:t>.</w:t>
                  </w:r>
                </w:p>
              </w:tc>
            </w:tr>
            <w:bookmarkEnd w:id="17"/>
          </w:tbl>
          <w:p w14:paraId="6648155A" w14:textId="66E06CB0" w:rsidR="00703DC9" w:rsidRPr="00D96752" w:rsidRDefault="00703DC9" w:rsidP="003A6646">
            <w:pPr>
              <w:spacing w:after="0" w:line="276" w:lineRule="auto"/>
              <w:jc w:val="both"/>
              <w:rPr>
                <w:rFonts w:ascii="Times New Roman" w:hAnsi="Times New Roman" w:cs="Times New Roman"/>
                <w:bCs/>
                <w:color w:val="000000" w:themeColor="text1"/>
                <w:lang w:val="ro-MD"/>
              </w:rPr>
            </w:pPr>
          </w:p>
        </w:tc>
        <w:tc>
          <w:tcPr>
            <w:tcW w:w="580" w:type="pct"/>
          </w:tcPr>
          <w:p w14:paraId="766808D7" w14:textId="4F474DCA" w:rsidR="00703DC9"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0281692" w14:textId="77777777" w:rsidR="00703DC9" w:rsidRPr="00D96752" w:rsidRDefault="00703DC9" w:rsidP="003A6646">
            <w:pPr>
              <w:spacing w:line="276" w:lineRule="auto"/>
              <w:jc w:val="both"/>
              <w:rPr>
                <w:rFonts w:ascii="Times New Roman" w:hAnsi="Times New Roman" w:cs="Times New Roman"/>
                <w:bCs/>
                <w:color w:val="000000" w:themeColor="text1"/>
                <w:lang w:val="ro-MD"/>
              </w:rPr>
            </w:pPr>
          </w:p>
        </w:tc>
      </w:tr>
      <w:tr w:rsidR="003A6646" w:rsidRPr="00D96752" w14:paraId="0E3403BE"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53DC3783" w14:textId="77777777" w:rsidR="003A6646" w:rsidRPr="00D96752" w:rsidRDefault="003A6646" w:rsidP="003A6646">
            <w:pPr>
              <w:spacing w:after="0" w:line="276" w:lineRule="auto"/>
              <w:jc w:val="both"/>
              <w:rPr>
                <w:rFonts w:ascii="Times New Roman" w:hAnsi="Times New Roman" w:cs="Times New Roman"/>
                <w:bCs/>
                <w:i/>
                <w:iCs/>
                <w:color w:val="000000" w:themeColor="text1"/>
                <w:lang w:val="ro-MD"/>
              </w:rPr>
            </w:pPr>
            <w:bookmarkStart w:id="19" w:name="_Hlk193286767"/>
            <w:r w:rsidRPr="00D96752">
              <w:rPr>
                <w:rFonts w:ascii="Times New Roman" w:hAnsi="Times New Roman" w:cs="Times New Roman"/>
                <w:bCs/>
                <w:i/>
                <w:iCs/>
                <w:color w:val="000000" w:themeColor="text1"/>
                <w:lang w:val="ro-MD"/>
              </w:rPr>
              <w:t>Articolul 314</w:t>
            </w:r>
          </w:p>
          <w:p w14:paraId="424A6C8A" w14:textId="77777777" w:rsidR="003A6646" w:rsidRPr="00D96752" w:rsidRDefault="003A6646" w:rsidP="003A6646">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Indicatorul de activitate</w:t>
            </w:r>
          </w:p>
          <w:p w14:paraId="017E25AD" w14:textId="16D8C4BD"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Instituțiile își calculează indicatorul de activitate conform următoarei formule:</w:t>
            </w:r>
          </w:p>
          <w:p w14:paraId="4472D66D"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BI = ILDC + SC + FC</w:t>
            </w:r>
          </w:p>
          <w:p w14:paraId="0498F10A"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4938" w:type="dxa"/>
              <w:tblLayout w:type="fixed"/>
              <w:tblCellMar>
                <w:left w:w="0" w:type="dxa"/>
                <w:right w:w="0" w:type="dxa"/>
              </w:tblCellMar>
              <w:tblLook w:val="04A0" w:firstRow="1" w:lastRow="0" w:firstColumn="1" w:lastColumn="0" w:noHBand="0" w:noVBand="1"/>
            </w:tblPr>
            <w:tblGrid>
              <w:gridCol w:w="319"/>
              <w:gridCol w:w="4619"/>
            </w:tblGrid>
            <w:tr w:rsidR="003A6646" w:rsidRPr="00D96752" w14:paraId="78486898" w14:textId="77777777" w:rsidTr="00482F7C">
              <w:tc>
                <w:tcPr>
                  <w:tcW w:w="319" w:type="dxa"/>
                  <w:shd w:val="clear" w:color="auto" w:fill="auto"/>
                  <w:hideMark/>
                </w:tcPr>
                <w:p w14:paraId="7A63AD26"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BI</w:t>
                  </w:r>
                </w:p>
              </w:tc>
              <w:tc>
                <w:tcPr>
                  <w:tcW w:w="4619" w:type="dxa"/>
                  <w:shd w:val="clear" w:color="auto" w:fill="auto"/>
                  <w:hideMark/>
                </w:tcPr>
                <w:p w14:paraId="5CF68490"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indicatorul de activitate, exprimat în miliarde de euro</w:t>
                  </w:r>
                </w:p>
              </w:tc>
            </w:tr>
          </w:tbl>
          <w:p w14:paraId="0CE178B9"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299" w:type="dxa"/>
              <w:tblLayout w:type="fixed"/>
              <w:tblCellMar>
                <w:left w:w="0" w:type="dxa"/>
                <w:right w:w="0" w:type="dxa"/>
              </w:tblCellMar>
              <w:tblLook w:val="04A0" w:firstRow="1" w:lastRow="0" w:firstColumn="1" w:lastColumn="0" w:noHBand="0" w:noVBand="1"/>
            </w:tblPr>
            <w:tblGrid>
              <w:gridCol w:w="745"/>
              <w:gridCol w:w="4554"/>
            </w:tblGrid>
            <w:tr w:rsidR="003A6646" w:rsidRPr="00D96752" w14:paraId="2D527B46" w14:textId="77777777" w:rsidTr="00482F7C">
              <w:tc>
                <w:tcPr>
                  <w:tcW w:w="745" w:type="dxa"/>
                  <w:shd w:val="clear" w:color="auto" w:fill="auto"/>
                  <w:hideMark/>
                </w:tcPr>
                <w:p w14:paraId="40E0FB18"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ILDC</w:t>
                  </w:r>
                </w:p>
              </w:tc>
              <w:tc>
                <w:tcPr>
                  <w:tcW w:w="4554" w:type="dxa"/>
                  <w:shd w:val="clear" w:color="auto" w:fill="auto"/>
                  <w:hideMark/>
                </w:tcPr>
                <w:p w14:paraId="120D8FCE"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dobânzilor, contractelor de leasing și dividendelor, exprimată în miliarde de euro și calculată în conformitate cu alineatul (2);</w:t>
                  </w:r>
                </w:p>
              </w:tc>
            </w:tr>
          </w:tbl>
          <w:p w14:paraId="504FF110"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4995" w:type="dxa"/>
              <w:tblLayout w:type="fixed"/>
              <w:tblCellMar>
                <w:left w:w="0" w:type="dxa"/>
                <w:right w:w="0" w:type="dxa"/>
              </w:tblCellMar>
              <w:tblLook w:val="04A0" w:firstRow="1" w:lastRow="0" w:firstColumn="1" w:lastColumn="0" w:noHBand="0" w:noVBand="1"/>
            </w:tblPr>
            <w:tblGrid>
              <w:gridCol w:w="319"/>
              <w:gridCol w:w="4676"/>
            </w:tblGrid>
            <w:tr w:rsidR="003A6646" w:rsidRPr="00D96752" w14:paraId="2E259991" w14:textId="77777777" w:rsidTr="00482F7C">
              <w:tc>
                <w:tcPr>
                  <w:tcW w:w="319" w:type="dxa"/>
                  <w:shd w:val="clear" w:color="auto" w:fill="auto"/>
                  <w:hideMark/>
                </w:tcPr>
                <w:p w14:paraId="25DFDB57"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SC</w:t>
                  </w:r>
                </w:p>
              </w:tc>
              <w:tc>
                <w:tcPr>
                  <w:tcW w:w="4676" w:type="dxa"/>
                  <w:shd w:val="clear" w:color="auto" w:fill="auto"/>
                  <w:hideMark/>
                </w:tcPr>
                <w:p w14:paraId="17EE5AFF"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serviciilor, exprimată în miliarde de euro și calculată în conformitate cu alineatul (5);</w:t>
                  </w:r>
                </w:p>
              </w:tc>
            </w:tr>
          </w:tbl>
          <w:p w14:paraId="73811A9A"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4812" w:type="dxa"/>
              <w:tblInd w:w="35" w:type="dxa"/>
              <w:tblLayout w:type="fixed"/>
              <w:tblCellMar>
                <w:left w:w="0" w:type="dxa"/>
                <w:right w:w="0" w:type="dxa"/>
              </w:tblCellMar>
              <w:tblLook w:val="04A0" w:firstRow="1" w:lastRow="0" w:firstColumn="1" w:lastColumn="0" w:noHBand="0" w:noVBand="1"/>
            </w:tblPr>
            <w:tblGrid>
              <w:gridCol w:w="284"/>
              <w:gridCol w:w="4528"/>
            </w:tblGrid>
            <w:tr w:rsidR="003A6646" w:rsidRPr="00D96752" w14:paraId="579EB2B3" w14:textId="77777777" w:rsidTr="00482F7C">
              <w:tc>
                <w:tcPr>
                  <w:tcW w:w="284" w:type="dxa"/>
                  <w:shd w:val="clear" w:color="auto" w:fill="auto"/>
                  <w:hideMark/>
                </w:tcPr>
                <w:p w14:paraId="3AE6785D"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FC</w:t>
                  </w:r>
                </w:p>
              </w:tc>
              <w:tc>
                <w:tcPr>
                  <w:tcW w:w="4528" w:type="dxa"/>
                  <w:shd w:val="clear" w:color="auto" w:fill="auto"/>
                  <w:hideMark/>
                </w:tcPr>
                <w:p w14:paraId="36A44959"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financiară, exprimată în miliarde de euro și calculată în conformitate cu alineatul (6).</w:t>
                  </w:r>
                </w:p>
              </w:tc>
            </w:tr>
          </w:tbl>
          <w:p w14:paraId="04075550"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p>
        </w:tc>
        <w:tc>
          <w:tcPr>
            <w:tcW w:w="1588" w:type="pct"/>
            <w:shd w:val="clear" w:color="auto" w:fill="auto"/>
          </w:tcPr>
          <w:p w14:paraId="192D78B3" w14:textId="02F2B33E" w:rsidR="003A6646" w:rsidRPr="00D96752" w:rsidRDefault="00EA7FAB" w:rsidP="003A6646">
            <w:pPr>
              <w:spacing w:after="0" w:line="276" w:lineRule="auto"/>
              <w:jc w:val="both"/>
              <w:rPr>
                <w:rFonts w:ascii="Times New Roman" w:hAnsi="Times New Roman" w:cs="Times New Roman"/>
                <w:b/>
                <w:bCs/>
                <w:color w:val="000000" w:themeColor="text1"/>
                <w:lang w:val="ro-MD"/>
              </w:rPr>
            </w:pPr>
            <w:bookmarkStart w:id="20" w:name="_Hlk193286783"/>
            <w:r w:rsidRPr="00D96752">
              <w:rPr>
                <w:rFonts w:ascii="Times New Roman" w:hAnsi="Times New Roman" w:cs="Times New Roman"/>
                <w:b/>
                <w:bCs/>
                <w:color w:val="000000" w:themeColor="text1"/>
                <w:lang w:val="ro-MD"/>
              </w:rPr>
              <w:t xml:space="preserve">Secțiunea 2. </w:t>
            </w:r>
            <w:r w:rsidR="003A6646" w:rsidRPr="00D96752">
              <w:rPr>
                <w:rFonts w:ascii="Times New Roman" w:hAnsi="Times New Roman" w:cs="Times New Roman"/>
                <w:b/>
                <w:bCs/>
                <w:color w:val="000000" w:themeColor="text1"/>
                <w:lang w:val="ro-MD"/>
              </w:rPr>
              <w:t>Indicatorul de activitate</w:t>
            </w:r>
          </w:p>
          <w:p w14:paraId="35F87D89" w14:textId="320B789D" w:rsidR="003A6646" w:rsidRPr="00D96752" w:rsidRDefault="00EA7FAB"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8.</w:t>
            </w:r>
            <w:r w:rsidR="003A6646" w:rsidRPr="00D96752">
              <w:rPr>
                <w:rFonts w:ascii="Times New Roman" w:hAnsi="Times New Roman" w:cs="Times New Roman"/>
                <w:bCs/>
                <w:color w:val="000000" w:themeColor="text1"/>
                <w:lang w:val="ro-MD"/>
              </w:rPr>
              <w:t>   </w:t>
            </w:r>
            <w:r w:rsidRPr="00D96752">
              <w:rPr>
                <w:rFonts w:ascii="Times New Roman" w:hAnsi="Times New Roman" w:cs="Times New Roman"/>
                <w:bCs/>
                <w:color w:val="000000" w:themeColor="text1"/>
                <w:lang w:val="ro-MD"/>
              </w:rPr>
              <w:t xml:space="preserve">Băncile </w:t>
            </w:r>
            <w:r w:rsidR="003A6646" w:rsidRPr="00D96752">
              <w:rPr>
                <w:rFonts w:ascii="Times New Roman" w:hAnsi="Times New Roman" w:cs="Times New Roman"/>
                <w:bCs/>
                <w:color w:val="000000" w:themeColor="text1"/>
                <w:lang w:val="ro-MD"/>
              </w:rPr>
              <w:t>își calculează indicatorul de activitate conform următoarei formule:</w:t>
            </w:r>
          </w:p>
          <w:p w14:paraId="18F4B87B"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BI = ILDC + SC + FC</w:t>
            </w:r>
          </w:p>
          <w:p w14:paraId="7F55FF1A"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4755" w:type="dxa"/>
              <w:tblLayout w:type="fixed"/>
              <w:tblCellMar>
                <w:left w:w="0" w:type="dxa"/>
                <w:right w:w="0" w:type="dxa"/>
              </w:tblCellMar>
              <w:tblLook w:val="04A0" w:firstRow="1" w:lastRow="0" w:firstColumn="1" w:lastColumn="0" w:noHBand="0" w:noVBand="1"/>
            </w:tblPr>
            <w:tblGrid>
              <w:gridCol w:w="258"/>
              <w:gridCol w:w="4497"/>
            </w:tblGrid>
            <w:tr w:rsidR="003A6646" w:rsidRPr="00D96752" w14:paraId="73C2D3C8" w14:textId="77777777" w:rsidTr="00482F7C">
              <w:tc>
                <w:tcPr>
                  <w:tcW w:w="258" w:type="dxa"/>
                  <w:shd w:val="clear" w:color="auto" w:fill="auto"/>
                  <w:hideMark/>
                </w:tcPr>
                <w:p w14:paraId="21288008"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BI</w:t>
                  </w:r>
                </w:p>
              </w:tc>
              <w:tc>
                <w:tcPr>
                  <w:tcW w:w="4497" w:type="dxa"/>
                  <w:shd w:val="clear" w:color="auto" w:fill="auto"/>
                  <w:hideMark/>
                </w:tcPr>
                <w:p w14:paraId="29C488DA" w14:textId="26728FBE" w:rsidR="003A6646" w:rsidRPr="00D96752" w:rsidRDefault="003A6646" w:rsidP="003A6646">
                  <w:pPr>
                    <w:spacing w:after="0" w:line="276" w:lineRule="auto"/>
                    <w:jc w:val="both"/>
                    <w:rPr>
                      <w:rFonts w:ascii="Times New Roman" w:hAnsi="Times New Roman" w:cs="Times New Roman"/>
                      <w:bCs/>
                      <w:color w:val="000000" w:themeColor="text1"/>
                      <w:lang w:val="it-IT"/>
                    </w:rPr>
                  </w:pPr>
                  <w:r w:rsidRPr="00D96752">
                    <w:rPr>
                      <w:rFonts w:ascii="Times New Roman" w:hAnsi="Times New Roman" w:cs="Times New Roman"/>
                      <w:bCs/>
                      <w:color w:val="000000" w:themeColor="text1"/>
                      <w:lang w:val="ro-MD"/>
                    </w:rPr>
                    <w:t xml:space="preserve">= indicatorul de activitate, exprimat în miliarde de </w:t>
                  </w:r>
                  <w:r w:rsidR="000A4BEC" w:rsidRPr="00D96752">
                    <w:rPr>
                      <w:rFonts w:ascii="Times New Roman" w:hAnsi="Times New Roman" w:cs="Times New Roman"/>
                      <w:bCs/>
                      <w:color w:val="000000" w:themeColor="text1"/>
                      <w:lang w:val="ro-MD"/>
                    </w:rPr>
                    <w:t>lei moldovenești</w:t>
                  </w:r>
                </w:p>
              </w:tc>
            </w:tr>
          </w:tbl>
          <w:p w14:paraId="14438F87"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558"/>
              <w:gridCol w:w="4271"/>
            </w:tblGrid>
            <w:tr w:rsidR="003A6646" w:rsidRPr="00D96752" w14:paraId="42015896" w14:textId="77777777" w:rsidTr="00482F7C">
              <w:tc>
                <w:tcPr>
                  <w:tcW w:w="541" w:type="dxa"/>
                  <w:shd w:val="clear" w:color="auto" w:fill="auto"/>
                  <w:hideMark/>
                </w:tcPr>
                <w:p w14:paraId="7EE5E8DC"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ILDC</w:t>
                  </w:r>
                </w:p>
              </w:tc>
              <w:tc>
                <w:tcPr>
                  <w:tcW w:w="4145" w:type="dxa"/>
                  <w:shd w:val="clear" w:color="auto" w:fill="auto"/>
                  <w:hideMark/>
                </w:tcPr>
                <w:p w14:paraId="55233050" w14:textId="00C5D652"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dobânzilor, contractelor de leasing și dividendelor, exprimată în miliarde de </w:t>
                  </w:r>
                  <w:r w:rsidR="000A4BEC" w:rsidRPr="00D96752">
                    <w:rPr>
                      <w:rFonts w:ascii="Times New Roman" w:hAnsi="Times New Roman" w:cs="Times New Roman"/>
                      <w:bCs/>
                      <w:color w:val="000000" w:themeColor="text1"/>
                      <w:lang w:val="ro-MD"/>
                    </w:rPr>
                    <w:t xml:space="preserve">lei moldovenești </w:t>
                  </w:r>
                  <w:r w:rsidRPr="00D96752">
                    <w:rPr>
                      <w:rFonts w:ascii="Times New Roman" w:hAnsi="Times New Roman" w:cs="Times New Roman"/>
                      <w:bCs/>
                      <w:color w:val="000000" w:themeColor="text1"/>
                      <w:lang w:val="ro-MD"/>
                    </w:rPr>
                    <w:t>și calculată în conformitate cu</w:t>
                  </w:r>
                  <w:r w:rsidR="00EA7FAB" w:rsidRPr="00D96752">
                    <w:rPr>
                      <w:rFonts w:ascii="Times New Roman" w:hAnsi="Times New Roman" w:cs="Times New Roman"/>
                      <w:bCs/>
                      <w:color w:val="000000" w:themeColor="text1"/>
                      <w:lang w:val="ro-MD"/>
                    </w:rPr>
                    <w:t>pct.9</w:t>
                  </w:r>
                  <w:r w:rsidRPr="00D96752">
                    <w:rPr>
                      <w:rFonts w:ascii="Times New Roman" w:hAnsi="Times New Roman" w:cs="Times New Roman"/>
                      <w:bCs/>
                      <w:color w:val="000000" w:themeColor="text1"/>
                      <w:lang w:val="ro-MD"/>
                    </w:rPr>
                    <w:t>;</w:t>
                  </w:r>
                </w:p>
              </w:tc>
            </w:tr>
          </w:tbl>
          <w:p w14:paraId="48B03F12"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4953" w:type="dxa"/>
              <w:tblLayout w:type="fixed"/>
              <w:tblCellMar>
                <w:left w:w="0" w:type="dxa"/>
                <w:right w:w="0" w:type="dxa"/>
              </w:tblCellMar>
              <w:tblLook w:val="04A0" w:firstRow="1" w:lastRow="0" w:firstColumn="1" w:lastColumn="0" w:noHBand="0" w:noVBand="1"/>
            </w:tblPr>
            <w:tblGrid>
              <w:gridCol w:w="400"/>
              <w:gridCol w:w="4553"/>
            </w:tblGrid>
            <w:tr w:rsidR="003A6646" w:rsidRPr="00D96752" w14:paraId="1B8CAD60" w14:textId="77777777" w:rsidTr="00482F7C">
              <w:tc>
                <w:tcPr>
                  <w:tcW w:w="400" w:type="dxa"/>
                  <w:shd w:val="clear" w:color="auto" w:fill="auto"/>
                  <w:hideMark/>
                </w:tcPr>
                <w:p w14:paraId="2C706171"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SC</w:t>
                  </w:r>
                </w:p>
              </w:tc>
              <w:tc>
                <w:tcPr>
                  <w:tcW w:w="4553" w:type="dxa"/>
                  <w:shd w:val="clear" w:color="auto" w:fill="auto"/>
                  <w:hideMark/>
                </w:tcPr>
                <w:p w14:paraId="6E5705F6" w14:textId="2348355D"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serviciilor, exprimată în miliarde de </w:t>
                  </w:r>
                  <w:r w:rsidR="000A4BEC" w:rsidRPr="00D96752">
                    <w:rPr>
                      <w:rFonts w:ascii="Times New Roman" w:hAnsi="Times New Roman" w:cs="Times New Roman"/>
                      <w:bCs/>
                      <w:color w:val="000000" w:themeColor="text1"/>
                      <w:lang w:val="ro-MD"/>
                    </w:rPr>
                    <w:t xml:space="preserve">lei moldovenești </w:t>
                  </w:r>
                  <w:r w:rsidRPr="00D96752">
                    <w:rPr>
                      <w:rFonts w:ascii="Times New Roman" w:hAnsi="Times New Roman" w:cs="Times New Roman"/>
                      <w:bCs/>
                      <w:color w:val="000000" w:themeColor="text1"/>
                      <w:lang w:val="ro-MD"/>
                    </w:rPr>
                    <w:t>și calculată în conformitate cu</w:t>
                  </w:r>
                  <w:r w:rsidR="006A172A" w:rsidRPr="00D96752">
                    <w:rPr>
                      <w:rFonts w:ascii="Times New Roman" w:hAnsi="Times New Roman" w:cs="Times New Roman"/>
                      <w:bCs/>
                      <w:color w:val="000000" w:themeColor="text1"/>
                      <w:lang w:val="ro-MD"/>
                    </w:rPr>
                    <w:t>pct.10</w:t>
                  </w:r>
                  <w:r w:rsidRPr="00D96752">
                    <w:rPr>
                      <w:rFonts w:ascii="Times New Roman" w:hAnsi="Times New Roman" w:cs="Times New Roman"/>
                      <w:bCs/>
                      <w:color w:val="000000" w:themeColor="text1"/>
                      <w:lang w:val="ro-MD"/>
                    </w:rPr>
                    <w:t>;</w:t>
                  </w:r>
                </w:p>
              </w:tc>
            </w:tr>
          </w:tbl>
          <w:p w14:paraId="7EE3EADA"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4949" w:type="dxa"/>
              <w:tblLayout w:type="fixed"/>
              <w:tblCellMar>
                <w:left w:w="0" w:type="dxa"/>
                <w:right w:w="0" w:type="dxa"/>
              </w:tblCellMar>
              <w:tblLook w:val="04A0" w:firstRow="1" w:lastRow="0" w:firstColumn="1" w:lastColumn="0" w:noHBand="0" w:noVBand="1"/>
            </w:tblPr>
            <w:tblGrid>
              <w:gridCol w:w="400"/>
              <w:gridCol w:w="4549"/>
            </w:tblGrid>
            <w:tr w:rsidR="003A6646" w:rsidRPr="00D96752" w14:paraId="1CF02BF0" w14:textId="77777777" w:rsidTr="00482F7C">
              <w:tc>
                <w:tcPr>
                  <w:tcW w:w="400" w:type="dxa"/>
                  <w:shd w:val="clear" w:color="auto" w:fill="auto"/>
                  <w:hideMark/>
                </w:tcPr>
                <w:p w14:paraId="08B5A921"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FC</w:t>
                  </w:r>
                </w:p>
              </w:tc>
              <w:tc>
                <w:tcPr>
                  <w:tcW w:w="4549" w:type="dxa"/>
                  <w:shd w:val="clear" w:color="auto" w:fill="auto"/>
                  <w:hideMark/>
                </w:tcPr>
                <w:p w14:paraId="3C261B40" w14:textId="2433F63F"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financiară, exprimată în miliarde de euro și calculată în conformitate cu</w:t>
                  </w:r>
                  <w:r w:rsidR="006A172A" w:rsidRPr="00D96752">
                    <w:rPr>
                      <w:rFonts w:ascii="Times New Roman" w:hAnsi="Times New Roman" w:cs="Times New Roman"/>
                      <w:bCs/>
                      <w:color w:val="000000" w:themeColor="text1"/>
                      <w:lang w:val="ro-MD"/>
                    </w:rPr>
                    <w:t>pct.11</w:t>
                  </w:r>
                  <w:r w:rsidRPr="00D96752">
                    <w:rPr>
                      <w:rFonts w:ascii="Times New Roman" w:hAnsi="Times New Roman" w:cs="Times New Roman"/>
                      <w:bCs/>
                      <w:color w:val="000000" w:themeColor="text1"/>
                      <w:lang w:val="ro-MD"/>
                    </w:rPr>
                    <w:t>.</w:t>
                  </w:r>
                </w:p>
              </w:tc>
            </w:tr>
            <w:bookmarkEnd w:id="20"/>
          </w:tbl>
          <w:p w14:paraId="28609D87"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p>
        </w:tc>
        <w:tc>
          <w:tcPr>
            <w:tcW w:w="580" w:type="pct"/>
          </w:tcPr>
          <w:p w14:paraId="1D88181D" w14:textId="0BF7A8C2"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0911E2BC"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bookmarkEnd w:id="19"/>
      <w:tr w:rsidR="003A6646" w:rsidRPr="00D96752" w14:paraId="5A7FD225"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9B1E65D" w14:textId="40045A45"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   În sensul alineatului (1), componenta dobânzilor, contractelor de leasing și dividendelor se calculează în conformitate cu următoarea formulă:</w:t>
            </w:r>
          </w:p>
          <w:p w14:paraId="78DF3EBF"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noProof/>
                <w:color w:val="000000" w:themeColor="text1"/>
                <w:lang w:val="ro-MD"/>
              </w:rPr>
              <w:drawing>
                <wp:inline distT="0" distB="0" distL="0" distR="0" wp14:anchorId="113FC8BC" wp14:editId="17650E6F">
                  <wp:extent cx="2882265" cy="278130"/>
                  <wp:effectExtent l="0" t="0" r="0" b="762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265" cy="278130"/>
                          </a:xfrm>
                          <a:prstGeom prst="rect">
                            <a:avLst/>
                          </a:prstGeom>
                          <a:noFill/>
                          <a:ln>
                            <a:noFill/>
                          </a:ln>
                        </pic:spPr>
                      </pic:pic>
                    </a:graphicData>
                  </a:graphic>
                </wp:inline>
              </w:drawing>
            </w:r>
          </w:p>
          <w:p w14:paraId="277711BC"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603"/>
              <w:gridCol w:w="4210"/>
            </w:tblGrid>
            <w:tr w:rsidR="003A6646" w:rsidRPr="00D96752" w14:paraId="32E1BD99" w14:textId="77777777" w:rsidTr="00482F7C">
              <w:tc>
                <w:tcPr>
                  <w:tcW w:w="603" w:type="dxa"/>
                  <w:shd w:val="clear" w:color="auto" w:fill="auto"/>
                  <w:hideMark/>
                </w:tcPr>
                <w:p w14:paraId="1DF025F3"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ILDC</w:t>
                  </w:r>
                </w:p>
              </w:tc>
              <w:tc>
                <w:tcPr>
                  <w:tcW w:w="4209" w:type="dxa"/>
                  <w:shd w:val="clear" w:color="auto" w:fill="auto"/>
                  <w:hideMark/>
                </w:tcPr>
                <w:p w14:paraId="20ECAE26"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dobânzilor, contractelor de leasing și dividendelor;</w:t>
                  </w:r>
                </w:p>
              </w:tc>
            </w:tr>
          </w:tbl>
          <w:p w14:paraId="19336F99"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3A6646" w:rsidRPr="00D96752" w14:paraId="18BF5B7B" w14:textId="77777777" w:rsidTr="00482F7C">
              <w:tc>
                <w:tcPr>
                  <w:tcW w:w="319" w:type="dxa"/>
                  <w:shd w:val="clear" w:color="auto" w:fill="auto"/>
                  <w:hideMark/>
                </w:tcPr>
                <w:p w14:paraId="654D1254"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IC</w:t>
                  </w:r>
                </w:p>
              </w:tc>
              <w:tc>
                <w:tcPr>
                  <w:tcW w:w="4493" w:type="dxa"/>
                  <w:shd w:val="clear" w:color="auto" w:fill="auto"/>
                  <w:hideMark/>
                </w:tcPr>
                <w:p w14:paraId="58C500DF"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dobânzilor, care reprezintă veniturile din dobânzi ale instituției din toate activele financiare și alte venituri din dobânzi, inclusiv veniturile financiare din contractele de leasing financiar, veniturile din contractele de leasing operațional și profiturile din activele care fac obiectul unui contract de leasing, minus cheltuielile instituției cu dobânzile aferente tuturor datoriilor financiare și alte cheltuieli cu dobânzile, inclusiv cheltuielile cu dobânzile provenite din contracte de leasing financiar și operațional, din amortizarea și deprecierea activelor care fac obiectul unui contract de leasing operațional și din pierderile rezultate din astfel de active, calculată ca medie anuală a valorilor absolute ale diferențelor pe ultimele trei exerciții financiare;</w:t>
                  </w:r>
                </w:p>
              </w:tc>
            </w:tr>
          </w:tbl>
          <w:p w14:paraId="002549D1"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3A6646" w:rsidRPr="00D96752" w14:paraId="132D5A80" w14:textId="77777777" w:rsidTr="00482F7C">
              <w:tc>
                <w:tcPr>
                  <w:tcW w:w="319" w:type="dxa"/>
                  <w:shd w:val="clear" w:color="auto" w:fill="auto"/>
                  <w:hideMark/>
                </w:tcPr>
                <w:p w14:paraId="318D7905"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AC</w:t>
                  </w:r>
                </w:p>
              </w:tc>
              <w:tc>
                <w:tcPr>
                  <w:tcW w:w="4493" w:type="dxa"/>
                  <w:shd w:val="clear" w:color="auto" w:fill="auto"/>
                  <w:hideMark/>
                </w:tcPr>
                <w:p w14:paraId="1B688119"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activelor, care reprezintă suma cuantumurilor brute totale ale creditelor în curs de derulare, avansurilor, titlurilor de valoare purtătoare de dobândă, inclusiv obligațiuni de stat, și activelor care fac obiectul unui contract de leasing ale instituției, calculată ca medie anuală pe ultimele trei exerciții financiare pe baza cuantumurilor de la sfârșitul fiecăruia dintre exercițiile financiare respective;</w:t>
                  </w:r>
                </w:p>
              </w:tc>
            </w:tr>
          </w:tbl>
          <w:p w14:paraId="4DF59FBD"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61"/>
              <w:gridCol w:w="4352"/>
            </w:tblGrid>
            <w:tr w:rsidR="003A6646" w:rsidRPr="00D96752" w14:paraId="6C6F9F51" w14:textId="77777777" w:rsidTr="00482F7C">
              <w:tc>
                <w:tcPr>
                  <w:tcW w:w="461" w:type="dxa"/>
                  <w:shd w:val="clear" w:color="auto" w:fill="auto"/>
                  <w:hideMark/>
                </w:tcPr>
                <w:p w14:paraId="62FDFB30"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DC</w:t>
                  </w:r>
                </w:p>
              </w:tc>
              <w:tc>
                <w:tcPr>
                  <w:tcW w:w="4351" w:type="dxa"/>
                  <w:shd w:val="clear" w:color="auto" w:fill="auto"/>
                  <w:hideMark/>
                </w:tcPr>
                <w:p w14:paraId="449A3EFF"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dividendelor, care reprezintă veniturile din dividende ale instituției din investiții în acțiuni și fonduri care nu au fost consolidate în situațiile financiare ale instituției, inclusiv veniturile din dividende provenite de la filiale, entități asociate și asocieri în participație neconsolidate, calculată ca medie anuală pe ultimele trei exerciții financiare.</w:t>
                  </w:r>
                </w:p>
              </w:tc>
            </w:tr>
          </w:tbl>
          <w:p w14:paraId="2E519384"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p>
        </w:tc>
        <w:tc>
          <w:tcPr>
            <w:tcW w:w="1588" w:type="pct"/>
            <w:shd w:val="clear" w:color="auto" w:fill="auto"/>
          </w:tcPr>
          <w:p w14:paraId="44D246D1" w14:textId="73B69E77" w:rsidR="003A6646" w:rsidRPr="00D96752" w:rsidRDefault="00EA7FAB" w:rsidP="003A6646">
            <w:pPr>
              <w:spacing w:after="0" w:line="276" w:lineRule="auto"/>
              <w:jc w:val="both"/>
              <w:rPr>
                <w:rFonts w:ascii="Times New Roman" w:hAnsi="Times New Roman" w:cs="Times New Roman"/>
                <w:bCs/>
                <w:color w:val="000000" w:themeColor="text1"/>
                <w:lang w:val="ro-MD"/>
              </w:rPr>
            </w:pPr>
            <w:bookmarkStart w:id="21" w:name="_Hlk193287039"/>
            <w:r w:rsidRPr="00D96752">
              <w:rPr>
                <w:rFonts w:ascii="Times New Roman" w:hAnsi="Times New Roman" w:cs="Times New Roman"/>
                <w:bCs/>
                <w:color w:val="000000" w:themeColor="text1"/>
                <w:lang w:val="ro-MD"/>
              </w:rPr>
              <w:lastRenderedPageBreak/>
              <w:t>9.</w:t>
            </w:r>
            <w:r w:rsidR="003A6646" w:rsidRPr="00D96752">
              <w:rPr>
                <w:rFonts w:ascii="Times New Roman" w:hAnsi="Times New Roman" w:cs="Times New Roman"/>
                <w:bCs/>
                <w:color w:val="000000" w:themeColor="text1"/>
                <w:lang w:val="ro-MD"/>
              </w:rPr>
              <w:t>   În sensul</w:t>
            </w:r>
            <w:r w:rsidR="005E53E6" w:rsidRPr="00D96752">
              <w:rPr>
                <w:rFonts w:ascii="Times New Roman" w:hAnsi="Times New Roman" w:cs="Times New Roman"/>
                <w:bCs/>
                <w:color w:val="000000" w:themeColor="text1"/>
                <w:lang w:val="ro-MD"/>
              </w:rPr>
              <w:t>pct.8</w:t>
            </w:r>
            <w:r w:rsidR="003A6646" w:rsidRPr="00D96752">
              <w:rPr>
                <w:rFonts w:ascii="Times New Roman" w:hAnsi="Times New Roman" w:cs="Times New Roman"/>
                <w:bCs/>
                <w:color w:val="000000" w:themeColor="text1"/>
                <w:lang w:val="ro-MD"/>
              </w:rPr>
              <w:t>, componenta dobânzilor, contractelor de leasing și dividendelor se calculează în conformitate cu următoarea formulă:</w:t>
            </w:r>
          </w:p>
          <w:p w14:paraId="51F39558"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noProof/>
                <w:color w:val="000000" w:themeColor="text1"/>
                <w:lang w:val="ro-MD"/>
              </w:rPr>
              <w:drawing>
                <wp:inline distT="0" distB="0" distL="0" distR="0" wp14:anchorId="43E4E703" wp14:editId="3F7F377B">
                  <wp:extent cx="2882265" cy="278130"/>
                  <wp:effectExtent l="0" t="0" r="0" b="762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265" cy="278130"/>
                          </a:xfrm>
                          <a:prstGeom prst="rect">
                            <a:avLst/>
                          </a:prstGeom>
                          <a:noFill/>
                          <a:ln>
                            <a:noFill/>
                          </a:ln>
                        </pic:spPr>
                      </pic:pic>
                    </a:graphicData>
                  </a:graphic>
                </wp:inline>
              </w:drawing>
            </w:r>
          </w:p>
          <w:p w14:paraId="08B52D82"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704"/>
              <w:gridCol w:w="4125"/>
            </w:tblGrid>
            <w:tr w:rsidR="003A6646" w:rsidRPr="00D96752" w14:paraId="7E8110F0" w14:textId="77777777" w:rsidTr="00482F7C">
              <w:tc>
                <w:tcPr>
                  <w:tcW w:w="683" w:type="dxa"/>
                  <w:shd w:val="clear" w:color="auto" w:fill="auto"/>
                  <w:hideMark/>
                </w:tcPr>
                <w:p w14:paraId="299F9438"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ILDC</w:t>
                  </w:r>
                </w:p>
              </w:tc>
              <w:tc>
                <w:tcPr>
                  <w:tcW w:w="4003" w:type="dxa"/>
                  <w:shd w:val="clear" w:color="auto" w:fill="auto"/>
                  <w:hideMark/>
                </w:tcPr>
                <w:p w14:paraId="6A05E076"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dobânzilor, contractelor de leasing și dividendelor;</w:t>
                  </w:r>
                </w:p>
              </w:tc>
            </w:tr>
          </w:tbl>
          <w:p w14:paraId="3873D3FB"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3A6646" w:rsidRPr="00D96752" w14:paraId="03FD4C83" w14:textId="77777777" w:rsidTr="00482F7C">
              <w:tc>
                <w:tcPr>
                  <w:tcW w:w="400" w:type="dxa"/>
                  <w:shd w:val="clear" w:color="auto" w:fill="auto"/>
                  <w:hideMark/>
                </w:tcPr>
                <w:p w14:paraId="4E980359"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IC</w:t>
                  </w:r>
                </w:p>
              </w:tc>
              <w:tc>
                <w:tcPr>
                  <w:tcW w:w="4286" w:type="dxa"/>
                  <w:shd w:val="clear" w:color="auto" w:fill="auto"/>
                  <w:hideMark/>
                </w:tcPr>
                <w:p w14:paraId="38C54BE4" w14:textId="177588F8"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dobânzilor, care reprezintă veniturile din dobânzi ale </w:t>
                  </w:r>
                  <w:r w:rsidR="005E53E6" w:rsidRPr="00D96752">
                    <w:rPr>
                      <w:rFonts w:ascii="Times New Roman" w:hAnsi="Times New Roman" w:cs="Times New Roman"/>
                      <w:bCs/>
                      <w:color w:val="000000" w:themeColor="text1"/>
                      <w:lang w:val="ro-MD"/>
                    </w:rPr>
                    <w:t xml:space="preserve">băncii </w:t>
                  </w:r>
                  <w:r w:rsidRPr="00D96752">
                    <w:rPr>
                      <w:rFonts w:ascii="Times New Roman" w:hAnsi="Times New Roman" w:cs="Times New Roman"/>
                      <w:bCs/>
                      <w:color w:val="000000" w:themeColor="text1"/>
                      <w:lang w:val="ro-MD"/>
                    </w:rPr>
                    <w:t xml:space="preserve">din toate activele financiare și alte venituri din dobânzi, inclusiv veniturile financiare din contractele de leasing financiar, veniturile din contractele de leasing operațional și profiturile din activele care fac obiectul unui contract de leasing, minus cheltuielile </w:t>
                  </w:r>
                  <w:r w:rsidR="005E53E6" w:rsidRPr="00D96752">
                    <w:rPr>
                      <w:rFonts w:ascii="Times New Roman" w:hAnsi="Times New Roman" w:cs="Times New Roman"/>
                      <w:bCs/>
                      <w:color w:val="000000" w:themeColor="text1"/>
                      <w:lang w:val="ro-MD"/>
                    </w:rPr>
                    <w:t xml:space="preserve">băncii </w:t>
                  </w:r>
                  <w:r w:rsidRPr="00D96752">
                    <w:rPr>
                      <w:rFonts w:ascii="Times New Roman" w:hAnsi="Times New Roman" w:cs="Times New Roman"/>
                      <w:bCs/>
                      <w:color w:val="000000" w:themeColor="text1"/>
                      <w:lang w:val="ro-MD"/>
                    </w:rPr>
                    <w:t>cu dobânzile aferente tuturor datoriilor financiare și alte cheltuieli cu dobânzile, inclusiv cheltuielile cu dobânzile provenite din contracte de leasing financiar și operațional, din amortizarea și deprecierea activelor care fac obiectul unui contract de leasing operațional și din pierderile rezultate din astfel de active, calculată ca medie anuală a valorilor absolute ale diferențelor pe ultimele trei exerciții financiare;</w:t>
                  </w:r>
                </w:p>
              </w:tc>
            </w:tr>
          </w:tbl>
          <w:p w14:paraId="276CF989"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3A6646" w:rsidRPr="00D96752" w14:paraId="29559FD9" w14:textId="77777777" w:rsidTr="00482F7C">
              <w:tc>
                <w:tcPr>
                  <w:tcW w:w="400" w:type="dxa"/>
                  <w:shd w:val="clear" w:color="auto" w:fill="auto"/>
                  <w:hideMark/>
                </w:tcPr>
                <w:p w14:paraId="1AADBC3D"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AC</w:t>
                  </w:r>
                </w:p>
              </w:tc>
              <w:tc>
                <w:tcPr>
                  <w:tcW w:w="4286" w:type="dxa"/>
                  <w:shd w:val="clear" w:color="auto" w:fill="auto"/>
                  <w:hideMark/>
                </w:tcPr>
                <w:p w14:paraId="161B1DDF" w14:textId="13144CB1"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activelor, care reprezintă suma cuantumurilor brute totale ale creditelor în curs de derulare, avansurilor, titlurilor de valoare purtătoare de dobândă, inclusiv obligațiuni de stat, și activelor care fac obiectul unui contract de leasing ale </w:t>
                  </w:r>
                  <w:r w:rsidR="005E53E6" w:rsidRPr="00D96752">
                    <w:rPr>
                      <w:rFonts w:ascii="Times New Roman" w:hAnsi="Times New Roman" w:cs="Times New Roman"/>
                      <w:bCs/>
                      <w:color w:val="000000" w:themeColor="text1"/>
                      <w:lang w:val="ro-MD"/>
                    </w:rPr>
                    <w:t>băncii</w:t>
                  </w:r>
                  <w:r w:rsidRPr="00D96752">
                    <w:rPr>
                      <w:rFonts w:ascii="Times New Roman" w:hAnsi="Times New Roman" w:cs="Times New Roman"/>
                      <w:bCs/>
                      <w:color w:val="000000" w:themeColor="text1"/>
                      <w:lang w:val="ro-MD"/>
                    </w:rPr>
                    <w:t>, calculată ca medie anuală pe ultimele trei exerciții financiare pe baza cuantumurilor de la sfârșitul fiecăruia dintre exercițiile financiare respective;</w:t>
                  </w:r>
                </w:p>
              </w:tc>
            </w:tr>
          </w:tbl>
          <w:p w14:paraId="54E20546" w14:textId="77777777" w:rsidR="003A6646" w:rsidRPr="00D96752" w:rsidRDefault="003A6646" w:rsidP="003A6646">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3A6646" w:rsidRPr="00D96752" w14:paraId="17AF8744" w14:textId="77777777" w:rsidTr="00482F7C">
              <w:tc>
                <w:tcPr>
                  <w:tcW w:w="400" w:type="dxa"/>
                  <w:shd w:val="clear" w:color="auto" w:fill="auto"/>
                  <w:hideMark/>
                </w:tcPr>
                <w:p w14:paraId="7DF1262B"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DC</w:t>
                  </w:r>
                </w:p>
              </w:tc>
              <w:tc>
                <w:tcPr>
                  <w:tcW w:w="4286" w:type="dxa"/>
                  <w:shd w:val="clear" w:color="auto" w:fill="auto"/>
                  <w:hideMark/>
                </w:tcPr>
                <w:p w14:paraId="2752345C" w14:textId="762B421E"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dividendelor, care reprezintă veniturile din dividende ale </w:t>
                  </w:r>
                  <w:r w:rsidR="005E53E6" w:rsidRPr="00D96752">
                    <w:rPr>
                      <w:rFonts w:ascii="Times New Roman" w:hAnsi="Times New Roman" w:cs="Times New Roman"/>
                      <w:bCs/>
                      <w:color w:val="000000" w:themeColor="text1"/>
                      <w:lang w:val="ro-MD"/>
                    </w:rPr>
                    <w:t xml:space="preserve">băncii </w:t>
                  </w:r>
                  <w:r w:rsidRPr="00D96752">
                    <w:rPr>
                      <w:rFonts w:ascii="Times New Roman" w:hAnsi="Times New Roman" w:cs="Times New Roman"/>
                      <w:bCs/>
                      <w:color w:val="000000" w:themeColor="text1"/>
                      <w:lang w:val="ro-MD"/>
                    </w:rPr>
                    <w:t xml:space="preserve">din investiții în acțiuni și fonduri care nu au fost consolidate în situațiile financiare ale </w:t>
                  </w:r>
                  <w:r w:rsidR="005E53E6" w:rsidRPr="00D96752">
                    <w:rPr>
                      <w:rFonts w:ascii="Times New Roman" w:hAnsi="Times New Roman" w:cs="Times New Roman"/>
                      <w:bCs/>
                      <w:color w:val="000000" w:themeColor="text1"/>
                      <w:lang w:val="ro-MD"/>
                    </w:rPr>
                    <w:t>băncii</w:t>
                  </w:r>
                  <w:r w:rsidRPr="00D96752">
                    <w:rPr>
                      <w:rFonts w:ascii="Times New Roman" w:hAnsi="Times New Roman" w:cs="Times New Roman"/>
                      <w:bCs/>
                      <w:color w:val="000000" w:themeColor="text1"/>
                      <w:lang w:val="ro-MD"/>
                    </w:rPr>
                    <w:t>, inclusiv veniturile din dividende provenite de la filiale, entități asociate și asocieri în participație neconsolidate, calculată ca medie anuală pe ultimele trei exerciții financiare.</w:t>
                  </w:r>
                </w:p>
              </w:tc>
            </w:tr>
            <w:bookmarkEnd w:id="21"/>
          </w:tbl>
          <w:p w14:paraId="0A94F803"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p>
        </w:tc>
        <w:tc>
          <w:tcPr>
            <w:tcW w:w="580" w:type="pct"/>
          </w:tcPr>
          <w:p w14:paraId="0FFB4264" w14:textId="2153916D" w:rsidR="003A6646" w:rsidRPr="00D96752" w:rsidRDefault="00703DC9"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352EABC1" w14:textId="77777777" w:rsidR="003A6646" w:rsidRPr="00D96752" w:rsidRDefault="003A6646" w:rsidP="003A6646">
            <w:pPr>
              <w:spacing w:line="276" w:lineRule="auto"/>
              <w:jc w:val="both"/>
              <w:rPr>
                <w:rFonts w:ascii="Times New Roman" w:hAnsi="Times New Roman" w:cs="Times New Roman"/>
                <w:bCs/>
                <w:color w:val="000000" w:themeColor="text1"/>
                <w:lang w:val="ro-MD"/>
              </w:rPr>
            </w:pPr>
          </w:p>
        </w:tc>
      </w:tr>
      <w:tr w:rsidR="003A6646" w:rsidRPr="00D96752" w14:paraId="4FA6DEBE"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DD0B732" w14:textId="447416CD"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(3)   Prin derogare de la alineatul (2), o instituție-mamă din UE poate solicita, până la 31 decembrie 2027, aprobarea supraveghetorului consolidant pentru a calcula o componentă a dobânzilor, contractelor de leasing și dividendelor separată pentru oricare dintre instituțiile sale filiale specifice și adăuga rezultatul calculului respectiv la componenta dobânzilor, contractelor de leasing și dividendelor calculată, pe bază consolidată, pentru celelalte entități ale grupului, </w:t>
            </w:r>
            <w:r w:rsidRPr="00D96752">
              <w:rPr>
                <w:rFonts w:ascii="Times New Roman" w:hAnsi="Times New Roman" w:cs="Times New Roman"/>
                <w:bCs/>
                <w:color w:val="000000" w:themeColor="text1"/>
                <w:lang w:val="ro-MD"/>
              </w:rPr>
              <w:lastRenderedPageBreak/>
              <w:t>în cazul în care sunt îndeplinite toate condițiile următoare:</w:t>
            </w:r>
          </w:p>
          <w:p w14:paraId="2E732AEF" w14:textId="349B8081"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activitățile bancare de retail sau comerciale ale filialelor reprezintă majoritatea activității acestora;</w:t>
            </w:r>
          </w:p>
          <w:p w14:paraId="08C04FF8" w14:textId="4C9D9A06"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o parte importantă a activităților bancare de retail sau comerciale ale filialelor este reprezentată de acordarea de credite cu PD ridicată;</w:t>
            </w:r>
          </w:p>
          <w:p w14:paraId="2DD1FD8A" w14:textId="552AA4C1"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utilizarea derogării furnizează o bază adecvată pentru calcularea cerinței de fonduri proprii pentru riscul operațional ale instituției-mamă din UE.</w:t>
            </w:r>
          </w:p>
          <w:p w14:paraId="6BF86521"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Odată acordată, aprobarea și condițiile acesteia sunt reevaluate de supraveghetorul consolidant o dată la doi ani.</w:t>
            </w:r>
          </w:p>
          <w:p w14:paraId="334CA690" w14:textId="77777777"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Supraveghetorul consolidant notifică ABE de îndată ce această aprobare este acordată, confirmată sau retrasă.</w:t>
            </w:r>
          </w:p>
          <w:p w14:paraId="3A8844A1" w14:textId="5FFF7261" w:rsidR="003A6646" w:rsidRPr="00D96752" w:rsidRDefault="003A6646" w:rsidP="003A6646">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Până la 31 decembrie 2031, ABE prezintă Comisiei un raport privind utilizarea și caracterul adecvat al derogării menționate la primul paragraf, având în vedere, în special, modelele de afaceri specifice în cauză și caracterul adecvat al cerinței de fonduri proprii aferente pentru riscul operațional. Pe baza acestui raport și ținând seama în mod corespunzător de standardele conexe convenite la nivel internațional elaborate de BCBS, Comisia prezintă Parlamentului European și Consiliului, dacă este cazul, o propunere legislativă până la 31 decembrie 2032.</w:t>
            </w:r>
          </w:p>
        </w:tc>
        <w:tc>
          <w:tcPr>
            <w:tcW w:w="1588" w:type="pct"/>
            <w:shd w:val="clear" w:color="auto" w:fill="auto"/>
          </w:tcPr>
          <w:p w14:paraId="18BDA0D8" w14:textId="0E813495" w:rsidR="003A6646" w:rsidRPr="00D96752" w:rsidRDefault="003A6646" w:rsidP="003A6646">
            <w:pPr>
              <w:spacing w:after="0" w:line="276" w:lineRule="auto"/>
              <w:jc w:val="both"/>
              <w:rPr>
                <w:rFonts w:ascii="Times New Roman" w:hAnsi="Times New Roman" w:cs="Times New Roman"/>
                <w:bCs/>
                <w:color w:val="000000" w:themeColor="text1"/>
                <w:lang w:val="ro-MD"/>
              </w:rPr>
            </w:pPr>
          </w:p>
        </w:tc>
        <w:tc>
          <w:tcPr>
            <w:tcW w:w="580" w:type="pct"/>
          </w:tcPr>
          <w:p w14:paraId="3DD03577" w14:textId="31ABE4A5" w:rsidR="003A6646" w:rsidRPr="00D96752" w:rsidRDefault="006A172A"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779FFC81" w14:textId="4A2DC939" w:rsidR="003A6646" w:rsidRPr="00D96752" w:rsidRDefault="006A172A" w:rsidP="003A6646">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Prevederile se referă la aprobările acordate instituțiilor-mamă din UE în scopul consolidării.</w:t>
            </w:r>
          </w:p>
        </w:tc>
      </w:tr>
      <w:tr w:rsidR="006A172A" w:rsidRPr="00D96752" w14:paraId="04E1BCA6"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C4C98D7" w14:textId="3A3317CB"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(4)   Până la 31 decembrie 2027 sau până când supraveghetorul consolidant acordă aprobarea în conformitate cu alineatul (3), oricare dintre aceste date survine mai întâi, o instituție-mamă din UE căreia i s-a acordat aprobarea de a aplica abordarea standardizată alternativă liniilor sale de activitate bancară de retail și comercială pentru a-și calcula cerința de fonduri proprii pentru riscul operațional poate continua, după ce și-a informat supraveghetorul consolidant, să utilizeze abordarea standardizată alternativă, astfel cum era aceasta prevăzută în versiunea prezentului regulament aplicabilă la 8 iulie 2024, în scopul calculării cerinței de fonduri proprii pentru riscul operațional aferente acestor două linii de activitate și în conformitate cu domeniul de aplicare al aprobării existente.</w:t>
            </w:r>
          </w:p>
        </w:tc>
        <w:tc>
          <w:tcPr>
            <w:tcW w:w="1588" w:type="pct"/>
            <w:shd w:val="clear" w:color="auto" w:fill="auto"/>
          </w:tcPr>
          <w:p w14:paraId="51907314" w14:textId="3AB80242" w:rsidR="006A172A" w:rsidRPr="00D96752" w:rsidRDefault="006A172A" w:rsidP="006A172A">
            <w:pPr>
              <w:spacing w:after="0" w:line="276" w:lineRule="auto"/>
              <w:jc w:val="both"/>
              <w:rPr>
                <w:rFonts w:ascii="Times New Roman" w:hAnsi="Times New Roman" w:cs="Times New Roman"/>
                <w:bCs/>
                <w:color w:val="000000" w:themeColor="text1"/>
                <w:lang w:val="ro-MD"/>
              </w:rPr>
            </w:pPr>
          </w:p>
        </w:tc>
        <w:tc>
          <w:tcPr>
            <w:tcW w:w="580" w:type="pct"/>
          </w:tcPr>
          <w:p w14:paraId="2D9BB396" w14:textId="50791031" w:rsidR="006A172A" w:rsidRPr="00D96752" w:rsidRDefault="006A172A"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49455BDB" w14:textId="708FD443" w:rsidR="006A172A" w:rsidRPr="00D96752" w:rsidRDefault="006A172A"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Prevederile se referă la aprobările acordate instituțiilor-mamă din UE în scopul consolidării și utilizării abordării standardizate alternative.</w:t>
            </w:r>
          </w:p>
        </w:tc>
      </w:tr>
      <w:tr w:rsidR="006A172A" w:rsidRPr="00D96752" w14:paraId="2C619711"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26667940" w14:textId="1756E1EC"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(5)   În sensul alineatului (1), componenta serviciilor se calculează în conformitate cu următoarea formulă:</w:t>
            </w:r>
          </w:p>
          <w:p w14:paraId="44465215"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 xml:space="preserve">SC = </w:t>
            </w:r>
            <w:proofErr w:type="spellStart"/>
            <w:r w:rsidRPr="00D96752">
              <w:rPr>
                <w:rFonts w:ascii="Times New Roman" w:hAnsi="Times New Roman" w:cs="Times New Roman"/>
                <w:bCs/>
                <w:i/>
                <w:iCs/>
                <w:color w:val="000000" w:themeColor="text1"/>
                <w:lang w:val="ro-MD"/>
              </w:rPr>
              <w:t>max</w:t>
            </w:r>
            <w:proofErr w:type="spellEnd"/>
            <w:r w:rsidRPr="00D96752">
              <w:rPr>
                <w:rFonts w:ascii="Times New Roman" w:hAnsi="Times New Roman" w:cs="Times New Roman"/>
                <w:bCs/>
                <w:i/>
                <w:iCs/>
                <w:color w:val="000000" w:themeColor="text1"/>
                <w:lang w:val="ro-MD"/>
              </w:rPr>
              <w:t xml:space="preserve"> (OI, OE) + </w:t>
            </w:r>
            <w:proofErr w:type="spellStart"/>
            <w:r w:rsidRPr="00D96752">
              <w:rPr>
                <w:rFonts w:ascii="Times New Roman" w:hAnsi="Times New Roman" w:cs="Times New Roman"/>
                <w:bCs/>
                <w:i/>
                <w:iCs/>
                <w:color w:val="000000" w:themeColor="text1"/>
                <w:lang w:val="ro-MD"/>
              </w:rPr>
              <w:t>max</w:t>
            </w:r>
            <w:proofErr w:type="spellEnd"/>
            <w:r w:rsidRPr="00D96752">
              <w:rPr>
                <w:rFonts w:ascii="Times New Roman" w:hAnsi="Times New Roman" w:cs="Times New Roman"/>
                <w:bCs/>
                <w:i/>
                <w:iCs/>
                <w:color w:val="000000" w:themeColor="text1"/>
                <w:lang w:val="ro-MD"/>
              </w:rPr>
              <w:t xml:space="preserve"> (FI, FE)</w:t>
            </w:r>
          </w:p>
          <w:p w14:paraId="58C7D48E"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436"/>
              <w:gridCol w:w="4377"/>
            </w:tblGrid>
            <w:tr w:rsidR="006A172A" w:rsidRPr="00D96752" w14:paraId="3D8048F4" w14:textId="77777777" w:rsidTr="00AC08C7">
              <w:tc>
                <w:tcPr>
                  <w:tcW w:w="860" w:type="dxa"/>
                  <w:shd w:val="clear" w:color="auto" w:fill="auto"/>
                  <w:hideMark/>
                </w:tcPr>
                <w:p w14:paraId="05323F21"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SC</w:t>
                  </w:r>
                </w:p>
              </w:tc>
              <w:tc>
                <w:tcPr>
                  <w:tcW w:w="8829" w:type="dxa"/>
                  <w:shd w:val="clear" w:color="auto" w:fill="auto"/>
                  <w:hideMark/>
                </w:tcPr>
                <w:p w14:paraId="73AC8BE8"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serviciilor;</w:t>
                  </w:r>
                </w:p>
              </w:tc>
            </w:tr>
          </w:tbl>
          <w:p w14:paraId="7D7B9446"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6A172A" w:rsidRPr="00D96752" w14:paraId="2295749D" w14:textId="77777777" w:rsidTr="00482F7C">
              <w:tc>
                <w:tcPr>
                  <w:tcW w:w="319" w:type="dxa"/>
                  <w:shd w:val="clear" w:color="auto" w:fill="auto"/>
                  <w:hideMark/>
                </w:tcPr>
                <w:p w14:paraId="08F44741"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OI</w:t>
                  </w:r>
                </w:p>
              </w:tc>
              <w:tc>
                <w:tcPr>
                  <w:tcW w:w="4493" w:type="dxa"/>
                  <w:shd w:val="clear" w:color="auto" w:fill="auto"/>
                  <w:hideMark/>
                </w:tcPr>
                <w:p w14:paraId="1E5E4BFA"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alte venituri din exploatare, care reprezintă media anuală pe ultimele trei exerciții financiare a veniturilor instituției din operațiunile bancare obișnuite care nu sunt incluse în alte elemente ale indicatorului de activitate, dar sunt de natură similară;</w:t>
                  </w:r>
                </w:p>
              </w:tc>
            </w:tr>
          </w:tbl>
          <w:p w14:paraId="5AA766C0"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6A172A" w:rsidRPr="00D96752" w14:paraId="520BE276" w14:textId="77777777" w:rsidTr="00482F7C">
              <w:tc>
                <w:tcPr>
                  <w:tcW w:w="319" w:type="dxa"/>
                  <w:shd w:val="clear" w:color="auto" w:fill="auto"/>
                  <w:hideMark/>
                </w:tcPr>
                <w:p w14:paraId="631DCB09"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OE</w:t>
                  </w:r>
                </w:p>
              </w:tc>
              <w:tc>
                <w:tcPr>
                  <w:tcW w:w="4493" w:type="dxa"/>
                  <w:shd w:val="clear" w:color="auto" w:fill="auto"/>
                  <w:hideMark/>
                </w:tcPr>
                <w:p w14:paraId="0902F8B5"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alte cheltuieli de exploatare, care reprezintă media anuală pe ultimele trei exerciții financiare a cheltuielilor și pierderilor instituției din operațiunile bancare obișnuite care nu sunt incluse în alte elemente ale indicatorului de activitate, dar sunt de natură similară, precum și din evenimentele de risc operațional;</w:t>
                  </w:r>
                </w:p>
              </w:tc>
            </w:tr>
          </w:tbl>
          <w:p w14:paraId="2CFBB73D"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6A172A" w:rsidRPr="00D96752" w14:paraId="6D11A8B1" w14:textId="77777777" w:rsidTr="00482F7C">
              <w:tc>
                <w:tcPr>
                  <w:tcW w:w="319" w:type="dxa"/>
                  <w:shd w:val="clear" w:color="auto" w:fill="auto"/>
                  <w:hideMark/>
                </w:tcPr>
                <w:p w14:paraId="4FB167FD"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FI</w:t>
                  </w:r>
                </w:p>
              </w:tc>
              <w:tc>
                <w:tcPr>
                  <w:tcW w:w="4493" w:type="dxa"/>
                  <w:shd w:val="clear" w:color="auto" w:fill="auto"/>
                  <w:hideMark/>
                </w:tcPr>
                <w:p w14:paraId="63EF4407"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veniturilor din taxe și comisioane, care reprezintă media anuală pe ultimele trei exerciții financiare a veniturilor instituției obținute din furnizarea de consultanță și de servicii, inclusiv veniturile obținute de instituție prin externalizarea serviciilor financiare;</w:t>
                  </w:r>
                </w:p>
              </w:tc>
            </w:tr>
          </w:tbl>
          <w:p w14:paraId="59817A92"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6A172A" w:rsidRPr="00D96752" w14:paraId="4E57E013" w14:textId="77777777" w:rsidTr="00482F7C">
              <w:tc>
                <w:tcPr>
                  <w:tcW w:w="319" w:type="dxa"/>
                  <w:shd w:val="clear" w:color="auto" w:fill="auto"/>
                  <w:hideMark/>
                </w:tcPr>
                <w:p w14:paraId="57481F02"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FE</w:t>
                  </w:r>
                </w:p>
              </w:tc>
              <w:tc>
                <w:tcPr>
                  <w:tcW w:w="4493" w:type="dxa"/>
                  <w:shd w:val="clear" w:color="auto" w:fill="auto"/>
                  <w:hideMark/>
                </w:tcPr>
                <w:p w14:paraId="04DA861E"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cheltuielilor cu taxe și comisioane, care reprezintă media anuală pe ultimele trei exerciții financiare a cheltuielilor plătite de instituție pentru a beneficia de consultanță și servicii, inclusiv taxele de externalizare plătite de instituție pentru furnizarea de servicii financiare, dar excluzând taxele de externalizare plătite pentru furnizarea de servicii nefinanciare.</w:t>
                  </w:r>
                </w:p>
              </w:tc>
            </w:tr>
          </w:tbl>
          <w:p w14:paraId="7099C9BF" w14:textId="2571C938"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Sub rezerva aprobării prealabile de către autoritatea competentă și în măsura în care sistemul instituțional de protecție dispune de sisteme adecvate și uniformizate pentru monitorizarea și clasificarea riscurilor operaționale, instituțiile care sunt membre ale </w:t>
            </w:r>
            <w:r w:rsidRPr="00D96752">
              <w:rPr>
                <w:rFonts w:ascii="Times New Roman" w:hAnsi="Times New Roman" w:cs="Times New Roman"/>
                <w:bCs/>
                <w:color w:val="000000" w:themeColor="text1"/>
                <w:lang w:val="ro-MD"/>
              </w:rPr>
              <w:lastRenderedPageBreak/>
              <w:t xml:space="preserve">unui sistem instituțional de protecție ce îndeplinește cerințele de la articolul 113 alineatul (7) pot calcula componenta serviciilor excluzând eventualele venituri primite de la instituții sau cheltuieli plătite unor instituții care sunt membre ale aceluiași sistem instituțional de protecție. Orice pierderi care rezultă din riscurile operaționale aferente fac obiectul </w:t>
            </w:r>
            <w:proofErr w:type="spellStart"/>
            <w:r w:rsidRPr="00D96752">
              <w:rPr>
                <w:rFonts w:ascii="Times New Roman" w:hAnsi="Times New Roman" w:cs="Times New Roman"/>
                <w:bCs/>
                <w:color w:val="000000" w:themeColor="text1"/>
                <w:lang w:val="ro-MD"/>
              </w:rPr>
              <w:t>mutualizării</w:t>
            </w:r>
            <w:proofErr w:type="spellEnd"/>
            <w:r w:rsidRPr="00D96752">
              <w:rPr>
                <w:rFonts w:ascii="Times New Roman" w:hAnsi="Times New Roman" w:cs="Times New Roman"/>
                <w:bCs/>
                <w:color w:val="000000" w:themeColor="text1"/>
                <w:lang w:val="ro-MD"/>
              </w:rPr>
              <w:t xml:space="preserve"> între membrii sistemului instituțional de protecție.</w:t>
            </w:r>
          </w:p>
        </w:tc>
        <w:tc>
          <w:tcPr>
            <w:tcW w:w="1588" w:type="pct"/>
            <w:shd w:val="clear" w:color="auto" w:fill="auto"/>
          </w:tcPr>
          <w:p w14:paraId="39052909" w14:textId="464D8921" w:rsidR="006A172A" w:rsidRPr="00D96752" w:rsidRDefault="006A172A" w:rsidP="006A172A">
            <w:pPr>
              <w:spacing w:after="0" w:line="276" w:lineRule="auto"/>
              <w:jc w:val="both"/>
              <w:rPr>
                <w:rFonts w:ascii="Times New Roman" w:hAnsi="Times New Roman" w:cs="Times New Roman"/>
                <w:bCs/>
                <w:color w:val="000000" w:themeColor="text1"/>
                <w:lang w:val="ro-MD"/>
              </w:rPr>
            </w:pPr>
            <w:bookmarkStart w:id="22" w:name="_Hlk193287808"/>
            <w:r w:rsidRPr="00D96752">
              <w:rPr>
                <w:rFonts w:ascii="Times New Roman" w:hAnsi="Times New Roman" w:cs="Times New Roman"/>
                <w:bCs/>
                <w:color w:val="000000" w:themeColor="text1"/>
                <w:lang w:val="ro-MD"/>
              </w:rPr>
              <w:lastRenderedPageBreak/>
              <w:t>10.   În sensul</w:t>
            </w:r>
            <w:r w:rsidR="00DC6494"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pct.8, componenta serviciilor se calculează în conformitate cu următoarea formulă:</w:t>
            </w:r>
          </w:p>
          <w:p w14:paraId="16040F6B"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 xml:space="preserve">SC = </w:t>
            </w:r>
            <w:proofErr w:type="spellStart"/>
            <w:r w:rsidRPr="00D96752">
              <w:rPr>
                <w:rFonts w:ascii="Times New Roman" w:hAnsi="Times New Roman" w:cs="Times New Roman"/>
                <w:bCs/>
                <w:i/>
                <w:iCs/>
                <w:color w:val="000000" w:themeColor="text1"/>
                <w:lang w:val="ro-MD"/>
              </w:rPr>
              <w:t>max</w:t>
            </w:r>
            <w:proofErr w:type="spellEnd"/>
            <w:r w:rsidRPr="00D96752">
              <w:rPr>
                <w:rFonts w:ascii="Times New Roman" w:hAnsi="Times New Roman" w:cs="Times New Roman"/>
                <w:bCs/>
                <w:i/>
                <w:iCs/>
                <w:color w:val="000000" w:themeColor="text1"/>
                <w:lang w:val="ro-MD"/>
              </w:rPr>
              <w:t xml:space="preserve"> (OI, OE) + </w:t>
            </w:r>
            <w:proofErr w:type="spellStart"/>
            <w:r w:rsidRPr="00D96752">
              <w:rPr>
                <w:rFonts w:ascii="Times New Roman" w:hAnsi="Times New Roman" w:cs="Times New Roman"/>
                <w:bCs/>
                <w:i/>
                <w:iCs/>
                <w:color w:val="000000" w:themeColor="text1"/>
                <w:lang w:val="ro-MD"/>
              </w:rPr>
              <w:t>max</w:t>
            </w:r>
            <w:proofErr w:type="spellEnd"/>
            <w:r w:rsidRPr="00D96752">
              <w:rPr>
                <w:rFonts w:ascii="Times New Roman" w:hAnsi="Times New Roman" w:cs="Times New Roman"/>
                <w:bCs/>
                <w:i/>
                <w:iCs/>
                <w:color w:val="000000" w:themeColor="text1"/>
                <w:lang w:val="ro-MD"/>
              </w:rPr>
              <w:t xml:space="preserve"> (FI, FE)</w:t>
            </w:r>
          </w:p>
          <w:p w14:paraId="34D04AD9"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437"/>
              <w:gridCol w:w="4392"/>
            </w:tblGrid>
            <w:tr w:rsidR="006A172A" w:rsidRPr="00D96752" w14:paraId="6FFDAAC0" w14:textId="77777777" w:rsidTr="00EB6DBC">
              <w:tc>
                <w:tcPr>
                  <w:tcW w:w="860" w:type="dxa"/>
                  <w:shd w:val="clear" w:color="auto" w:fill="auto"/>
                  <w:hideMark/>
                </w:tcPr>
                <w:p w14:paraId="35D42B8B"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SC</w:t>
                  </w:r>
                </w:p>
              </w:tc>
              <w:tc>
                <w:tcPr>
                  <w:tcW w:w="8829" w:type="dxa"/>
                  <w:shd w:val="clear" w:color="auto" w:fill="auto"/>
                  <w:hideMark/>
                </w:tcPr>
                <w:p w14:paraId="27973CA1"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serviciilor;</w:t>
                  </w:r>
                </w:p>
              </w:tc>
            </w:tr>
          </w:tbl>
          <w:p w14:paraId="718C85C7"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266"/>
              <w:gridCol w:w="4563"/>
            </w:tblGrid>
            <w:tr w:rsidR="006A172A" w:rsidRPr="00D96752" w14:paraId="53292123" w14:textId="77777777" w:rsidTr="00482F7C">
              <w:tc>
                <w:tcPr>
                  <w:tcW w:w="258" w:type="dxa"/>
                  <w:shd w:val="clear" w:color="auto" w:fill="auto"/>
                  <w:hideMark/>
                </w:tcPr>
                <w:p w14:paraId="36F51137"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OI</w:t>
                  </w:r>
                </w:p>
              </w:tc>
              <w:tc>
                <w:tcPr>
                  <w:tcW w:w="4428" w:type="dxa"/>
                  <w:shd w:val="clear" w:color="auto" w:fill="auto"/>
                  <w:hideMark/>
                </w:tcPr>
                <w:p w14:paraId="72A23070" w14:textId="279296D3"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alte venituri din exploatare, care reprezintă media anuală pe ultimele trei exerciții financiare a veniturilor </w:t>
                  </w:r>
                  <w:r w:rsidR="00F310CB" w:rsidRPr="00D96752">
                    <w:rPr>
                      <w:rFonts w:ascii="Times New Roman" w:hAnsi="Times New Roman" w:cs="Times New Roman"/>
                      <w:bCs/>
                      <w:color w:val="000000" w:themeColor="text1"/>
                      <w:lang w:val="ro-MD"/>
                    </w:rPr>
                    <w:t xml:space="preserve">băncii </w:t>
                  </w:r>
                  <w:r w:rsidRPr="00D96752">
                    <w:rPr>
                      <w:rFonts w:ascii="Times New Roman" w:hAnsi="Times New Roman" w:cs="Times New Roman"/>
                      <w:bCs/>
                      <w:color w:val="000000" w:themeColor="text1"/>
                      <w:lang w:val="ro-MD"/>
                    </w:rPr>
                    <w:t>din operațiunile bancare obișnuite care nu sunt incluse în alte elemente ale indicatorului de activitate, dar sunt de natură similară;</w:t>
                  </w:r>
                </w:p>
              </w:tc>
            </w:tr>
          </w:tbl>
          <w:p w14:paraId="6BE91DA5"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6A172A" w:rsidRPr="00D96752" w14:paraId="5AD32D03" w14:textId="77777777" w:rsidTr="00482F7C">
              <w:tc>
                <w:tcPr>
                  <w:tcW w:w="400" w:type="dxa"/>
                  <w:shd w:val="clear" w:color="auto" w:fill="auto"/>
                  <w:hideMark/>
                </w:tcPr>
                <w:p w14:paraId="69232C4A"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OE</w:t>
                  </w:r>
                </w:p>
              </w:tc>
              <w:tc>
                <w:tcPr>
                  <w:tcW w:w="4286" w:type="dxa"/>
                  <w:shd w:val="clear" w:color="auto" w:fill="auto"/>
                  <w:hideMark/>
                </w:tcPr>
                <w:p w14:paraId="0566FBB6" w14:textId="3DB0DC58"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alte cheltuieli de exploatare, care reprezintă media anuală pe ultimele trei exerciții financiare a cheltuielilor și pierderilor </w:t>
                  </w:r>
                  <w:r w:rsidR="00F310CB" w:rsidRPr="00D96752">
                    <w:rPr>
                      <w:rFonts w:ascii="Times New Roman" w:hAnsi="Times New Roman" w:cs="Times New Roman"/>
                      <w:bCs/>
                      <w:color w:val="000000" w:themeColor="text1"/>
                      <w:lang w:val="ro-MD"/>
                    </w:rPr>
                    <w:t xml:space="preserve">băncii </w:t>
                  </w:r>
                  <w:r w:rsidRPr="00D96752">
                    <w:rPr>
                      <w:rFonts w:ascii="Times New Roman" w:hAnsi="Times New Roman" w:cs="Times New Roman"/>
                      <w:bCs/>
                      <w:color w:val="000000" w:themeColor="text1"/>
                      <w:lang w:val="ro-MD"/>
                    </w:rPr>
                    <w:t>din operațiunile bancare obișnuite care nu sunt incluse în alte elemente ale indicatorului de activitate, dar sunt de natură similară, precum și din evenimentele de risc operațional;</w:t>
                  </w:r>
                </w:p>
              </w:tc>
            </w:tr>
          </w:tbl>
          <w:p w14:paraId="7272B942"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6A172A" w:rsidRPr="00D96752" w14:paraId="621F3D90" w14:textId="77777777" w:rsidTr="00482F7C">
              <w:tc>
                <w:tcPr>
                  <w:tcW w:w="400" w:type="dxa"/>
                  <w:shd w:val="clear" w:color="auto" w:fill="auto"/>
                  <w:hideMark/>
                </w:tcPr>
                <w:p w14:paraId="363A0BC5"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FI</w:t>
                  </w:r>
                </w:p>
              </w:tc>
              <w:tc>
                <w:tcPr>
                  <w:tcW w:w="4286" w:type="dxa"/>
                  <w:shd w:val="clear" w:color="auto" w:fill="auto"/>
                  <w:hideMark/>
                </w:tcPr>
                <w:p w14:paraId="6BE24288" w14:textId="73C4BFF6"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veniturilor din taxe și comisioane, care reprezintă media anuală pe ultimele trei exerciții financiare a veniturilor </w:t>
                  </w:r>
                  <w:r w:rsidR="00F310CB" w:rsidRPr="00D96752">
                    <w:rPr>
                      <w:rFonts w:ascii="Times New Roman" w:hAnsi="Times New Roman" w:cs="Times New Roman"/>
                      <w:bCs/>
                      <w:color w:val="000000" w:themeColor="text1"/>
                      <w:lang w:val="ro-MD"/>
                    </w:rPr>
                    <w:t xml:space="preserve">băncii </w:t>
                  </w:r>
                  <w:r w:rsidRPr="00D96752">
                    <w:rPr>
                      <w:rFonts w:ascii="Times New Roman" w:hAnsi="Times New Roman" w:cs="Times New Roman"/>
                      <w:bCs/>
                      <w:color w:val="000000" w:themeColor="text1"/>
                      <w:lang w:val="ro-MD"/>
                    </w:rPr>
                    <w:t xml:space="preserve">obținute din furnizarea de consultanță și de servicii, inclusiv veniturile obținute de </w:t>
                  </w:r>
                  <w:r w:rsidR="00F310CB" w:rsidRPr="00D96752">
                    <w:rPr>
                      <w:rFonts w:ascii="Times New Roman" w:hAnsi="Times New Roman" w:cs="Times New Roman"/>
                      <w:bCs/>
                      <w:color w:val="000000" w:themeColor="text1"/>
                      <w:lang w:val="ro-MD"/>
                    </w:rPr>
                    <w:t xml:space="preserve">bancă </w:t>
                  </w:r>
                  <w:r w:rsidRPr="00D96752">
                    <w:rPr>
                      <w:rFonts w:ascii="Times New Roman" w:hAnsi="Times New Roman" w:cs="Times New Roman"/>
                      <w:bCs/>
                      <w:color w:val="000000" w:themeColor="text1"/>
                      <w:lang w:val="ro-MD"/>
                    </w:rPr>
                    <w:t>prin externalizarea serviciilor financiare;</w:t>
                  </w:r>
                </w:p>
              </w:tc>
            </w:tr>
          </w:tbl>
          <w:p w14:paraId="6389955A"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266"/>
              <w:gridCol w:w="4563"/>
            </w:tblGrid>
            <w:tr w:rsidR="006A172A" w:rsidRPr="00D96752" w14:paraId="5FF1227E" w14:textId="77777777" w:rsidTr="00482F7C">
              <w:tc>
                <w:tcPr>
                  <w:tcW w:w="258" w:type="dxa"/>
                  <w:shd w:val="clear" w:color="auto" w:fill="auto"/>
                  <w:hideMark/>
                </w:tcPr>
                <w:p w14:paraId="303387F2"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FE</w:t>
                  </w:r>
                </w:p>
              </w:tc>
              <w:tc>
                <w:tcPr>
                  <w:tcW w:w="4428" w:type="dxa"/>
                  <w:shd w:val="clear" w:color="auto" w:fill="auto"/>
                  <w:hideMark/>
                </w:tcPr>
                <w:p w14:paraId="43F3181E" w14:textId="0674A1DD"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cheltuielilor cu taxe și comisioane, care reprezintă media anuală pe ultimele trei exerciții financiare a cheltuielilor plătite de </w:t>
                  </w:r>
                  <w:r w:rsidR="00F310CB" w:rsidRPr="00D96752">
                    <w:rPr>
                      <w:rFonts w:ascii="Times New Roman" w:hAnsi="Times New Roman" w:cs="Times New Roman"/>
                      <w:bCs/>
                      <w:color w:val="000000" w:themeColor="text1"/>
                      <w:lang w:val="ro-MD"/>
                    </w:rPr>
                    <w:t xml:space="preserve">bancă </w:t>
                  </w:r>
                  <w:r w:rsidRPr="00D96752">
                    <w:rPr>
                      <w:rFonts w:ascii="Times New Roman" w:hAnsi="Times New Roman" w:cs="Times New Roman"/>
                      <w:bCs/>
                      <w:color w:val="000000" w:themeColor="text1"/>
                      <w:lang w:val="ro-MD"/>
                    </w:rPr>
                    <w:t xml:space="preserve">pentru a beneficia de consultanță și servicii, inclusiv taxele de externalizare plătite de </w:t>
                  </w:r>
                  <w:r w:rsidR="00F310CB" w:rsidRPr="00D96752">
                    <w:rPr>
                      <w:rFonts w:ascii="Times New Roman" w:hAnsi="Times New Roman" w:cs="Times New Roman"/>
                      <w:bCs/>
                      <w:color w:val="000000" w:themeColor="text1"/>
                      <w:lang w:val="ro-MD"/>
                    </w:rPr>
                    <w:t xml:space="preserve">bancă </w:t>
                  </w:r>
                  <w:r w:rsidRPr="00D96752">
                    <w:rPr>
                      <w:rFonts w:ascii="Times New Roman" w:hAnsi="Times New Roman" w:cs="Times New Roman"/>
                      <w:bCs/>
                      <w:color w:val="000000" w:themeColor="text1"/>
                      <w:lang w:val="ro-MD"/>
                    </w:rPr>
                    <w:t>pentru furnizarea de servicii financiare, dar excluzând taxele de externalizare plătite pentru furnizarea de servicii nefinanciare.</w:t>
                  </w:r>
                </w:p>
              </w:tc>
            </w:tr>
            <w:bookmarkEnd w:id="22"/>
          </w:tbl>
          <w:p w14:paraId="56DD977A" w14:textId="14D3EE8A" w:rsidR="006A172A" w:rsidRPr="00D96752" w:rsidRDefault="006A172A" w:rsidP="006A172A">
            <w:pPr>
              <w:spacing w:after="0" w:line="276" w:lineRule="auto"/>
              <w:jc w:val="both"/>
              <w:rPr>
                <w:rFonts w:ascii="Times New Roman" w:hAnsi="Times New Roman" w:cs="Times New Roman"/>
                <w:bCs/>
                <w:color w:val="000000" w:themeColor="text1"/>
                <w:lang w:val="ro-MD"/>
              </w:rPr>
            </w:pPr>
          </w:p>
        </w:tc>
        <w:tc>
          <w:tcPr>
            <w:tcW w:w="580" w:type="pct"/>
          </w:tcPr>
          <w:p w14:paraId="0E08FD2A" w14:textId="7BA9BE04" w:rsidR="006A172A" w:rsidRPr="00D96752" w:rsidRDefault="00F310CB"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Parțial compatibil</w:t>
            </w:r>
          </w:p>
        </w:tc>
        <w:tc>
          <w:tcPr>
            <w:tcW w:w="1249" w:type="pct"/>
          </w:tcPr>
          <w:p w14:paraId="09E4DF92" w14:textId="1F55F9D7" w:rsidR="006A172A" w:rsidRPr="00D96752" w:rsidRDefault="00F310CB"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Prevederile din alineatul doi aferente sistemelor instituționale de protecție nu au fost transpuse, deoarece în reglementările prudențiale din Republica Moldova nu  sunt reglementate sistemele respective.</w:t>
            </w:r>
          </w:p>
        </w:tc>
      </w:tr>
      <w:tr w:rsidR="006A172A" w:rsidRPr="00D96752" w14:paraId="6428186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21DE3735" w14:textId="194142D0"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(6)   În sensul alineatului (1), componenta financiară se calculează în conformitate cu următoarea formulă:</w:t>
            </w:r>
          </w:p>
          <w:p w14:paraId="64F8AD24"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FC = TC + BC</w:t>
            </w:r>
          </w:p>
          <w:p w14:paraId="33172375"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450"/>
              <w:gridCol w:w="4363"/>
            </w:tblGrid>
            <w:tr w:rsidR="006A172A" w:rsidRPr="00D96752" w14:paraId="16E98A6B" w14:textId="77777777" w:rsidTr="00AC08C7">
              <w:tc>
                <w:tcPr>
                  <w:tcW w:w="890" w:type="dxa"/>
                  <w:shd w:val="clear" w:color="auto" w:fill="auto"/>
                  <w:hideMark/>
                </w:tcPr>
                <w:p w14:paraId="19B81021"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FC</w:t>
                  </w:r>
                </w:p>
              </w:tc>
              <w:tc>
                <w:tcPr>
                  <w:tcW w:w="8799" w:type="dxa"/>
                  <w:shd w:val="clear" w:color="auto" w:fill="auto"/>
                  <w:hideMark/>
                </w:tcPr>
                <w:p w14:paraId="454F868C"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financiară;</w:t>
                  </w:r>
                </w:p>
              </w:tc>
            </w:tr>
          </w:tbl>
          <w:p w14:paraId="186FF162"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6A172A" w:rsidRPr="00D96752" w14:paraId="6B24AED7" w14:textId="77777777" w:rsidTr="00482F7C">
              <w:tc>
                <w:tcPr>
                  <w:tcW w:w="319" w:type="dxa"/>
                  <w:shd w:val="clear" w:color="auto" w:fill="auto"/>
                  <w:hideMark/>
                </w:tcPr>
                <w:p w14:paraId="198BED28"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TC</w:t>
                  </w:r>
                </w:p>
              </w:tc>
              <w:tc>
                <w:tcPr>
                  <w:tcW w:w="4493" w:type="dxa"/>
                  <w:shd w:val="clear" w:color="auto" w:fill="auto"/>
                  <w:hideMark/>
                </w:tcPr>
                <w:p w14:paraId="2815E5FC"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portofoliului de tranzacționare, care reprezintă media anuală a valorilor absolute pe ultimele trei exerciții financiare ale profitului net sau pierderii nete, după caz, rezultat(ă) din portofoliul de tranzacționare al instituției, stabilit, după caz, fie în conformitate cu standardele de contabilitate, fie în conformitate cu partea a treia titlul I capitolul 3, inclusiv din activele și datoriile destinate tranzacționării, din contabilitatea de acoperire împotriva riscurilor și din diferențele de curs valutar;</w:t>
                  </w:r>
                </w:p>
              </w:tc>
            </w:tr>
          </w:tbl>
          <w:p w14:paraId="79545414"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319"/>
              <w:gridCol w:w="4494"/>
            </w:tblGrid>
            <w:tr w:rsidR="006A172A" w:rsidRPr="00D96752" w14:paraId="3611BDF0" w14:textId="77777777" w:rsidTr="00482F7C">
              <w:tc>
                <w:tcPr>
                  <w:tcW w:w="319" w:type="dxa"/>
                  <w:shd w:val="clear" w:color="auto" w:fill="auto"/>
                  <w:hideMark/>
                </w:tcPr>
                <w:p w14:paraId="332A8BB6"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BC</w:t>
                  </w:r>
                </w:p>
              </w:tc>
              <w:tc>
                <w:tcPr>
                  <w:tcW w:w="4493" w:type="dxa"/>
                  <w:shd w:val="clear" w:color="auto" w:fill="auto"/>
                  <w:hideMark/>
                </w:tcPr>
                <w:p w14:paraId="023E961E"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portofoliului bancar, care reprezintă media anuală a valorilor absolute pe ultimele trei </w:t>
                  </w:r>
                  <w:r w:rsidRPr="00D96752">
                    <w:rPr>
                      <w:rFonts w:ascii="Times New Roman" w:hAnsi="Times New Roman" w:cs="Times New Roman"/>
                      <w:bCs/>
                      <w:color w:val="000000" w:themeColor="text1"/>
                      <w:lang w:val="ro-MD"/>
                    </w:rPr>
                    <w:lastRenderedPageBreak/>
                    <w:t>exerciții financiare ale profitului net sau pierderii nete, după caz, rezultat(ă) din afara portofoliului de tranzacționare al instituției, inclusiv din activele și datoriile financiare evaluate la valoarea justă prin profit și pierdere, din contabilitatea de acoperire împotriva riscurilor, din diferențele de curs valutar și din câștigurile și pierderile realizate din activele și datoriile financiare care nu sunt evaluate la valoarea justă prin profit și pierdere.</w:t>
                  </w:r>
                </w:p>
              </w:tc>
            </w:tr>
          </w:tbl>
          <w:p w14:paraId="4835000D"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p>
        </w:tc>
        <w:tc>
          <w:tcPr>
            <w:tcW w:w="1588" w:type="pct"/>
            <w:shd w:val="clear" w:color="auto" w:fill="auto"/>
          </w:tcPr>
          <w:p w14:paraId="68A9425A" w14:textId="4E19A998" w:rsidR="006A172A" w:rsidRPr="00D96752" w:rsidRDefault="00CC70B9" w:rsidP="006A172A">
            <w:pPr>
              <w:spacing w:after="0" w:line="276" w:lineRule="auto"/>
              <w:jc w:val="both"/>
              <w:rPr>
                <w:rFonts w:ascii="Times New Roman" w:hAnsi="Times New Roman" w:cs="Times New Roman"/>
                <w:bCs/>
                <w:color w:val="000000" w:themeColor="text1"/>
                <w:lang w:val="ro-MD"/>
              </w:rPr>
            </w:pPr>
            <w:bookmarkStart w:id="23" w:name="_Hlk193290715"/>
            <w:r w:rsidRPr="00D96752">
              <w:rPr>
                <w:rFonts w:ascii="Times New Roman" w:hAnsi="Times New Roman" w:cs="Times New Roman"/>
                <w:bCs/>
                <w:color w:val="000000" w:themeColor="text1"/>
                <w:lang w:val="ro-MD"/>
              </w:rPr>
              <w:lastRenderedPageBreak/>
              <w:t>11.</w:t>
            </w:r>
            <w:r w:rsidR="006A172A" w:rsidRPr="00D96752">
              <w:rPr>
                <w:rFonts w:ascii="Times New Roman" w:hAnsi="Times New Roman" w:cs="Times New Roman"/>
                <w:bCs/>
                <w:color w:val="000000" w:themeColor="text1"/>
                <w:lang w:val="ro-MD"/>
              </w:rPr>
              <w:t>   În sensul</w:t>
            </w:r>
            <w:r w:rsidR="0039223F" w:rsidRPr="00D96752">
              <w:rPr>
                <w:rFonts w:ascii="Times New Roman" w:hAnsi="Times New Roman" w:cs="Times New Roman"/>
                <w:bCs/>
                <w:color w:val="000000" w:themeColor="text1"/>
                <w:lang w:val="ro-MD"/>
              </w:rPr>
              <w:t xml:space="preserve"> </w:t>
            </w:r>
            <w:r w:rsidR="00F310CB" w:rsidRPr="00D96752">
              <w:rPr>
                <w:rFonts w:ascii="Times New Roman" w:hAnsi="Times New Roman" w:cs="Times New Roman"/>
                <w:bCs/>
                <w:color w:val="000000" w:themeColor="text1"/>
                <w:lang w:val="ro-MD"/>
              </w:rPr>
              <w:t>pct.8</w:t>
            </w:r>
            <w:r w:rsidR="006A172A" w:rsidRPr="00D96752">
              <w:rPr>
                <w:rFonts w:ascii="Times New Roman" w:hAnsi="Times New Roman" w:cs="Times New Roman"/>
                <w:bCs/>
                <w:color w:val="000000" w:themeColor="text1"/>
                <w:lang w:val="ro-MD"/>
              </w:rPr>
              <w:t>, componenta financiară se calculează în conformitate cu următoarea formulă:</w:t>
            </w:r>
          </w:p>
          <w:p w14:paraId="40637759"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FC = TC + BC</w:t>
            </w:r>
          </w:p>
          <w:p w14:paraId="42E66673"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452"/>
              <w:gridCol w:w="4377"/>
            </w:tblGrid>
            <w:tr w:rsidR="006A172A" w:rsidRPr="00D96752" w14:paraId="3DE3F6B0" w14:textId="77777777" w:rsidTr="00EB6DBC">
              <w:tc>
                <w:tcPr>
                  <w:tcW w:w="890" w:type="dxa"/>
                  <w:shd w:val="clear" w:color="auto" w:fill="auto"/>
                  <w:hideMark/>
                </w:tcPr>
                <w:p w14:paraId="1BF530CE"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FC</w:t>
                  </w:r>
                </w:p>
              </w:tc>
              <w:tc>
                <w:tcPr>
                  <w:tcW w:w="8799" w:type="dxa"/>
                  <w:shd w:val="clear" w:color="auto" w:fill="auto"/>
                  <w:hideMark/>
                </w:tcPr>
                <w:p w14:paraId="285E1F50"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componenta financiară;</w:t>
                  </w:r>
                </w:p>
              </w:tc>
            </w:tr>
          </w:tbl>
          <w:p w14:paraId="6D7B815F"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6A172A" w:rsidRPr="00D96752" w14:paraId="1B10DDBC" w14:textId="77777777" w:rsidTr="00482F7C">
              <w:tc>
                <w:tcPr>
                  <w:tcW w:w="400" w:type="dxa"/>
                  <w:shd w:val="clear" w:color="auto" w:fill="auto"/>
                  <w:hideMark/>
                </w:tcPr>
                <w:p w14:paraId="361F05A2"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TC</w:t>
                  </w:r>
                </w:p>
              </w:tc>
              <w:tc>
                <w:tcPr>
                  <w:tcW w:w="4286" w:type="dxa"/>
                  <w:shd w:val="clear" w:color="auto" w:fill="auto"/>
                  <w:hideMark/>
                </w:tcPr>
                <w:p w14:paraId="5F27F5E3" w14:textId="1B166788" w:rsidR="006A172A" w:rsidRPr="00D96752" w:rsidRDefault="006A172A" w:rsidP="0039223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portofoliului de tranzacționare, care reprezintă media anuală a valorilor absolute pe ultimele trei exerciții financiare ale profitului net sau pierderii nete, după caz, rezultat(ă) din portofoliul de tranzacționare al </w:t>
                  </w:r>
                  <w:r w:rsidR="00F310CB" w:rsidRPr="00D96752">
                    <w:rPr>
                      <w:rFonts w:ascii="Times New Roman" w:hAnsi="Times New Roman" w:cs="Times New Roman"/>
                      <w:bCs/>
                      <w:color w:val="000000" w:themeColor="text1"/>
                      <w:lang w:val="ro-MD"/>
                    </w:rPr>
                    <w:t>băncii</w:t>
                  </w:r>
                  <w:r w:rsidRPr="00D96752">
                    <w:rPr>
                      <w:rFonts w:ascii="Times New Roman" w:hAnsi="Times New Roman" w:cs="Times New Roman"/>
                      <w:bCs/>
                      <w:color w:val="000000" w:themeColor="text1"/>
                      <w:lang w:val="ro-MD"/>
                    </w:rPr>
                    <w:t xml:space="preserve">, stabilit, după caz, fie în conformitate cu standardele de contabilitate, fie în conformitate cu </w:t>
                  </w:r>
                  <w:r w:rsidR="0039223F" w:rsidRPr="00D96752">
                    <w:rPr>
                      <w:rFonts w:ascii="Times New Roman" w:hAnsi="Times New Roman" w:cs="Times New Roman"/>
                      <w:bCs/>
                      <w:color w:val="000000" w:themeColor="text1"/>
                      <w:lang w:val="ro-MD"/>
                    </w:rPr>
                    <w:t xml:space="preserve">capitolul II din Regulamentul cu privire la tratamentul riscului de </w:t>
                  </w:r>
                  <w:proofErr w:type="spellStart"/>
                  <w:r w:rsidR="0039223F" w:rsidRPr="00D96752">
                    <w:rPr>
                      <w:rFonts w:ascii="Times New Roman" w:hAnsi="Times New Roman" w:cs="Times New Roman"/>
                      <w:bCs/>
                      <w:color w:val="000000" w:themeColor="text1"/>
                      <w:lang w:val="ro-MD"/>
                    </w:rPr>
                    <w:t>piaţă</w:t>
                  </w:r>
                  <w:proofErr w:type="spellEnd"/>
                  <w:r w:rsidR="0039223F" w:rsidRPr="00D96752">
                    <w:rPr>
                      <w:rFonts w:ascii="Times New Roman" w:hAnsi="Times New Roman" w:cs="Times New Roman"/>
                      <w:bCs/>
                      <w:color w:val="000000" w:themeColor="text1"/>
                      <w:lang w:val="ro-MD"/>
                    </w:rPr>
                    <w:t xml:space="preserve"> potrivit abordării standardizate, aprobat prin HCE al BNM nr.114/2018</w:t>
                  </w:r>
                  <w:r w:rsidRPr="00D96752">
                    <w:rPr>
                      <w:rFonts w:ascii="Times New Roman" w:hAnsi="Times New Roman" w:cs="Times New Roman"/>
                      <w:bCs/>
                      <w:color w:val="000000" w:themeColor="text1"/>
                      <w:lang w:val="ro-MD"/>
                    </w:rPr>
                    <w:t>, inclusiv din activele și datoriile destinate tranzacționării, din contabilitatea de acoperire împotriva riscurilor și din diferențele de curs valutar;</w:t>
                  </w:r>
                </w:p>
              </w:tc>
            </w:tr>
          </w:tbl>
          <w:p w14:paraId="711727B9" w14:textId="77777777" w:rsidR="006A172A" w:rsidRPr="00D96752" w:rsidRDefault="006A172A" w:rsidP="006A172A">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412"/>
              <w:gridCol w:w="4417"/>
            </w:tblGrid>
            <w:tr w:rsidR="006A172A" w:rsidRPr="00D96752" w14:paraId="588154A1" w14:textId="77777777" w:rsidTr="00482F7C">
              <w:tc>
                <w:tcPr>
                  <w:tcW w:w="400" w:type="dxa"/>
                  <w:shd w:val="clear" w:color="auto" w:fill="auto"/>
                  <w:hideMark/>
                </w:tcPr>
                <w:p w14:paraId="205BC76A"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BC</w:t>
                  </w:r>
                </w:p>
              </w:tc>
              <w:tc>
                <w:tcPr>
                  <w:tcW w:w="4286" w:type="dxa"/>
                  <w:shd w:val="clear" w:color="auto" w:fill="auto"/>
                  <w:hideMark/>
                </w:tcPr>
                <w:p w14:paraId="7BFDF3DD" w14:textId="458E7EC2"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 componenta portofoliului bancar, care reprezintă media anuală a valorilor absolute pe ultimele trei exerciții financiare ale profitului net sau pierderii nete, după caz, rezultat(ă) din afara portofoliului de tranzacționare al </w:t>
                  </w:r>
                  <w:r w:rsidR="008C00B4" w:rsidRPr="00D96752">
                    <w:rPr>
                      <w:rFonts w:ascii="Times New Roman" w:hAnsi="Times New Roman" w:cs="Times New Roman"/>
                      <w:bCs/>
                      <w:color w:val="000000" w:themeColor="text1"/>
                      <w:lang w:val="ro-MD"/>
                    </w:rPr>
                    <w:t>băncii</w:t>
                  </w:r>
                  <w:r w:rsidRPr="00D96752">
                    <w:rPr>
                      <w:rFonts w:ascii="Times New Roman" w:hAnsi="Times New Roman" w:cs="Times New Roman"/>
                      <w:bCs/>
                      <w:color w:val="000000" w:themeColor="text1"/>
                      <w:lang w:val="ro-MD"/>
                    </w:rPr>
                    <w:t>, inclusiv din activele și datoriile financiare evaluate la valoarea justă prin profit și pierdere, din contabilitatea de acoperire împotriva riscurilor, din diferențele de curs valutar și din câștigurile și pierderile realizate din activele și datoriile financiare care nu sunt evaluate la valoarea justă prin profit și pierdere.</w:t>
                  </w:r>
                </w:p>
              </w:tc>
            </w:tr>
            <w:bookmarkEnd w:id="23"/>
          </w:tbl>
          <w:p w14:paraId="344FBFFA"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p>
        </w:tc>
        <w:tc>
          <w:tcPr>
            <w:tcW w:w="580" w:type="pct"/>
          </w:tcPr>
          <w:p w14:paraId="728497B5" w14:textId="0703D8FF" w:rsidR="006A172A" w:rsidRPr="00D96752" w:rsidRDefault="0039223F"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63BCFC4E" w14:textId="77777777" w:rsidR="006A172A" w:rsidRPr="00D96752" w:rsidRDefault="006A172A" w:rsidP="006A172A">
            <w:pPr>
              <w:spacing w:line="276" w:lineRule="auto"/>
              <w:jc w:val="both"/>
              <w:rPr>
                <w:rFonts w:ascii="Times New Roman" w:hAnsi="Times New Roman" w:cs="Times New Roman"/>
                <w:bCs/>
                <w:color w:val="000000" w:themeColor="text1"/>
                <w:lang w:val="ro-MD"/>
              </w:rPr>
            </w:pPr>
          </w:p>
        </w:tc>
      </w:tr>
      <w:tr w:rsidR="006A172A" w:rsidRPr="00D96752" w14:paraId="11BB6247"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25B67AF" w14:textId="4C619D38"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(7)   La calcularea indicatorului de activitate, instituțiile nu utilizează niciunul dintre următoarele elemente:</w:t>
            </w:r>
          </w:p>
          <w:p w14:paraId="1FB67F4C" w14:textId="57D94861"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veniturile și cheltuielile provenite din activitățile de asigurare sau reasigurare;</w:t>
            </w:r>
          </w:p>
          <w:p w14:paraId="6DFE7958" w14:textId="45BAA5AD"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primele plătite și plățile primite pentru polițele de asigurare sau de reasigurare achiziționate;</w:t>
            </w:r>
          </w:p>
          <w:p w14:paraId="591B2344" w14:textId="2472C20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cheltuielile administrative, inclusiv cheltuielile cu personalul, taxele de externalizare plătite pentru furnizarea de servicii nefinanciare și alte cheltuieli administrative;</w:t>
            </w:r>
          </w:p>
          <w:p w14:paraId="7BA011F7" w14:textId="618A5AC3"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 recuperarea cheltuielilor administrative, inclusiv recuperarea plăților efectuate în numele clienților;</w:t>
            </w:r>
          </w:p>
          <w:p w14:paraId="535051D2" w14:textId="13C8CAFA"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(e) cheltuielile cu spațiile și activele fixe, cu excepția cazului în care aceste cheltuieli rezultă din evenimente de riscuri operaționale;</w:t>
            </w:r>
          </w:p>
          <w:p w14:paraId="357BAC68" w14:textId="191F8E06"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 deprecierea imobilizărilor corporale și amortizarea imobilizărilor necorporale, cu excepția deprecierii aferente activelor care fac obiectul unui contract de leasing operațional, care trebuie inclusă în cheltuielile de leasing financiar și operațional;</w:t>
            </w:r>
          </w:p>
          <w:p w14:paraId="4E145868" w14:textId="6A982E4E"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(g) provizioanele și reluările de provizioane, cu excepția cazului în care aceste provizioane sunt legate de evenimente de riscuri operaționale;</w:t>
            </w:r>
          </w:p>
          <w:p w14:paraId="27E13091" w14:textId="6B35540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(h) cheltuielile generate de capitalul social rambursabil la cerere;</w:t>
            </w:r>
          </w:p>
          <w:p w14:paraId="73B7095F" w14:textId="77E58DBF"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 deprecierea și reluarea deprecierii;</w:t>
            </w:r>
          </w:p>
          <w:p w14:paraId="301CB494" w14:textId="3C7BC64F"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(j) modificările fondului comercial recunoscut în profit sau pierdere;</w:t>
            </w:r>
          </w:p>
          <w:p w14:paraId="7F9F7578" w14:textId="328808FC"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(k) impozitul pe profit.</w:t>
            </w:r>
          </w:p>
        </w:tc>
        <w:tc>
          <w:tcPr>
            <w:tcW w:w="1588" w:type="pct"/>
            <w:shd w:val="clear" w:color="auto" w:fill="auto"/>
          </w:tcPr>
          <w:p w14:paraId="74987B54" w14:textId="049E9AF7" w:rsidR="006A172A" w:rsidRPr="00D96752" w:rsidRDefault="00DC6494" w:rsidP="006A172A">
            <w:pPr>
              <w:spacing w:after="0" w:line="276" w:lineRule="auto"/>
              <w:jc w:val="both"/>
              <w:rPr>
                <w:rFonts w:ascii="Times New Roman" w:hAnsi="Times New Roman" w:cs="Times New Roman"/>
                <w:bCs/>
                <w:color w:val="000000" w:themeColor="text1"/>
                <w:lang w:val="ro-MD"/>
              </w:rPr>
            </w:pPr>
            <w:bookmarkStart w:id="24" w:name="_Hlk193291505"/>
            <w:r w:rsidRPr="00D96752">
              <w:rPr>
                <w:rFonts w:ascii="Times New Roman" w:hAnsi="Times New Roman" w:cs="Times New Roman"/>
                <w:bCs/>
                <w:color w:val="000000" w:themeColor="text1"/>
                <w:lang w:val="ro-MD"/>
              </w:rPr>
              <w:lastRenderedPageBreak/>
              <w:t>12.</w:t>
            </w:r>
            <w:r w:rsidR="006A172A" w:rsidRPr="00D96752">
              <w:rPr>
                <w:rFonts w:ascii="Times New Roman" w:hAnsi="Times New Roman" w:cs="Times New Roman"/>
                <w:bCs/>
                <w:color w:val="000000" w:themeColor="text1"/>
                <w:lang w:val="ro-MD"/>
              </w:rPr>
              <w:t xml:space="preserve">   La calcularea indicatorului de activitate, </w:t>
            </w:r>
            <w:r w:rsidRPr="00D96752">
              <w:rPr>
                <w:rFonts w:ascii="Times New Roman" w:hAnsi="Times New Roman" w:cs="Times New Roman"/>
                <w:bCs/>
                <w:color w:val="000000" w:themeColor="text1"/>
                <w:lang w:val="ro-MD"/>
              </w:rPr>
              <w:t xml:space="preserve">băncile </w:t>
            </w:r>
            <w:r w:rsidR="006A172A" w:rsidRPr="00D96752">
              <w:rPr>
                <w:rFonts w:ascii="Times New Roman" w:hAnsi="Times New Roman" w:cs="Times New Roman"/>
                <w:bCs/>
                <w:color w:val="000000" w:themeColor="text1"/>
                <w:lang w:val="ro-MD"/>
              </w:rPr>
              <w:t>nu utilizează niciunul dintre următoarele elemente:</w:t>
            </w:r>
          </w:p>
          <w:p w14:paraId="18C0335D" w14:textId="53AB97F9"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12.1.</w:t>
            </w:r>
            <w:r w:rsidR="006A172A" w:rsidRPr="00D96752">
              <w:rPr>
                <w:rFonts w:ascii="Times New Roman" w:hAnsi="Times New Roman" w:cs="Times New Roman"/>
                <w:bCs/>
                <w:color w:val="000000" w:themeColor="text1"/>
                <w:lang w:val="ro-MD"/>
              </w:rPr>
              <w:t> veniturile și cheltuielile provenite din activitățile de asigurare sau reasigurare;</w:t>
            </w:r>
          </w:p>
          <w:p w14:paraId="207F355A" w14:textId="78F205AB"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12.2.</w:t>
            </w:r>
            <w:r w:rsidR="006A172A" w:rsidRPr="00D96752">
              <w:rPr>
                <w:rFonts w:ascii="Times New Roman" w:hAnsi="Times New Roman" w:cs="Times New Roman"/>
                <w:bCs/>
                <w:color w:val="000000" w:themeColor="text1"/>
                <w:lang w:val="ro-MD"/>
              </w:rPr>
              <w:t> primele plătite și plățile primite pentru polițele de asigurare sau de reasigurare achiziționate;</w:t>
            </w:r>
          </w:p>
          <w:p w14:paraId="4B2E8ADF" w14:textId="77D065A2"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12.3.</w:t>
            </w:r>
            <w:r w:rsidR="006A172A" w:rsidRPr="00D96752">
              <w:rPr>
                <w:rFonts w:ascii="Times New Roman" w:hAnsi="Times New Roman" w:cs="Times New Roman"/>
                <w:bCs/>
                <w:color w:val="000000" w:themeColor="text1"/>
                <w:lang w:val="ro-MD"/>
              </w:rPr>
              <w:t> cheltuielile administrative, inclusiv cheltuielile cu personalul, taxele de externalizare plătite pentru furnizarea de servicii nefinanciare și alte cheltuieli administrative;</w:t>
            </w:r>
          </w:p>
          <w:p w14:paraId="53926A4C" w14:textId="10D7E314"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12.4.</w:t>
            </w:r>
            <w:r w:rsidR="006A172A" w:rsidRPr="00D96752">
              <w:rPr>
                <w:rFonts w:ascii="Times New Roman" w:hAnsi="Times New Roman" w:cs="Times New Roman"/>
                <w:bCs/>
                <w:color w:val="000000" w:themeColor="text1"/>
                <w:lang w:val="ro-MD"/>
              </w:rPr>
              <w:t> recuperarea cheltuielilor administrative, inclusiv recuperarea plăților efectuate în numele clienților;</w:t>
            </w:r>
          </w:p>
          <w:p w14:paraId="3304C4EB" w14:textId="452F270B"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12.5.</w:t>
            </w:r>
            <w:r w:rsidR="006A172A" w:rsidRPr="00D96752">
              <w:rPr>
                <w:rFonts w:ascii="Times New Roman" w:hAnsi="Times New Roman" w:cs="Times New Roman"/>
                <w:bCs/>
                <w:color w:val="000000" w:themeColor="text1"/>
                <w:lang w:val="ro-MD"/>
              </w:rPr>
              <w:t> cheltuielile cu spațiile și activele fixe, cu excepția cazului în care aceste cheltuieli rezultă din evenimente de riscuri operaționale;</w:t>
            </w:r>
          </w:p>
          <w:p w14:paraId="59034702" w14:textId="3CF9B45A"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12.6.</w:t>
            </w:r>
            <w:r w:rsidR="006A172A" w:rsidRPr="00D96752">
              <w:rPr>
                <w:rFonts w:ascii="Times New Roman" w:hAnsi="Times New Roman" w:cs="Times New Roman"/>
                <w:bCs/>
                <w:color w:val="000000" w:themeColor="text1"/>
                <w:lang w:val="ro-MD"/>
              </w:rPr>
              <w:t> deprecierea imobilizărilor corporale și amortizarea imobilizărilor necorporale, cu excepția deprecierii aferente activelor care fac obiectul unui contract de leasing operațional, care trebuie inclusă în cheltuielile de leasing financiar și operațional;</w:t>
            </w:r>
          </w:p>
          <w:p w14:paraId="6DC7F72F" w14:textId="5288B4FD"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12.7.</w:t>
            </w:r>
            <w:r w:rsidR="006A172A" w:rsidRPr="00D96752">
              <w:rPr>
                <w:rFonts w:ascii="Times New Roman" w:hAnsi="Times New Roman" w:cs="Times New Roman"/>
                <w:bCs/>
                <w:color w:val="000000" w:themeColor="text1"/>
                <w:lang w:val="ro-MD"/>
              </w:rPr>
              <w:t> provizioanele și reluările de provizioane, cu excepția cazului în care aceste provizioane sunt legate de evenimente de riscuri operaționale;</w:t>
            </w:r>
          </w:p>
          <w:p w14:paraId="2B62AFA6" w14:textId="61943502"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12.8.</w:t>
            </w:r>
            <w:r w:rsidR="006A172A" w:rsidRPr="00D96752">
              <w:rPr>
                <w:rFonts w:ascii="Times New Roman" w:hAnsi="Times New Roman" w:cs="Times New Roman"/>
                <w:bCs/>
                <w:color w:val="000000" w:themeColor="text1"/>
                <w:lang w:val="ro-MD"/>
              </w:rPr>
              <w:t> cheltuielile generate de capitalul social rambursabil la cerere;</w:t>
            </w:r>
          </w:p>
          <w:p w14:paraId="03F94A9A" w14:textId="0DC28B89"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12.9.</w:t>
            </w:r>
            <w:r w:rsidR="006A172A" w:rsidRPr="00D96752">
              <w:rPr>
                <w:rFonts w:ascii="Times New Roman" w:hAnsi="Times New Roman" w:cs="Times New Roman"/>
                <w:bCs/>
                <w:color w:val="000000" w:themeColor="text1"/>
                <w:lang w:val="ro-MD"/>
              </w:rPr>
              <w:t> deprecierea și reluarea deprecierii;</w:t>
            </w:r>
          </w:p>
          <w:p w14:paraId="0DAF9A84" w14:textId="7B6FB945"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12.10.</w:t>
            </w:r>
            <w:r w:rsidR="006A172A" w:rsidRPr="00D96752">
              <w:rPr>
                <w:rFonts w:ascii="Times New Roman" w:hAnsi="Times New Roman" w:cs="Times New Roman"/>
                <w:bCs/>
                <w:color w:val="000000" w:themeColor="text1"/>
                <w:lang w:val="ro-MD"/>
              </w:rPr>
              <w:t> modificările fondului comercial recunoscut în profit sau pierdere;</w:t>
            </w:r>
          </w:p>
          <w:p w14:paraId="236A7F45" w14:textId="0823763E" w:rsidR="006A172A" w:rsidRPr="00D96752" w:rsidRDefault="00DC6494"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12.11.</w:t>
            </w:r>
            <w:r w:rsidR="006A172A" w:rsidRPr="00D96752">
              <w:rPr>
                <w:rFonts w:ascii="Times New Roman" w:hAnsi="Times New Roman" w:cs="Times New Roman"/>
                <w:bCs/>
                <w:color w:val="000000" w:themeColor="text1"/>
                <w:lang w:val="ro-MD"/>
              </w:rPr>
              <w:t> impozitul pe profit.</w:t>
            </w:r>
            <w:bookmarkEnd w:id="24"/>
          </w:p>
        </w:tc>
        <w:tc>
          <w:tcPr>
            <w:tcW w:w="580" w:type="pct"/>
          </w:tcPr>
          <w:p w14:paraId="47A14B83" w14:textId="58E335E2" w:rsidR="006A172A" w:rsidRPr="00D96752" w:rsidRDefault="00DC6494"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11DACB71" w14:textId="77777777" w:rsidR="006A172A" w:rsidRPr="00D96752" w:rsidRDefault="006A172A" w:rsidP="006A172A">
            <w:pPr>
              <w:spacing w:line="276" w:lineRule="auto"/>
              <w:jc w:val="both"/>
              <w:rPr>
                <w:rFonts w:ascii="Times New Roman" w:hAnsi="Times New Roman" w:cs="Times New Roman"/>
                <w:bCs/>
                <w:color w:val="000000" w:themeColor="text1"/>
                <w:lang w:val="ro-MD"/>
              </w:rPr>
            </w:pPr>
          </w:p>
        </w:tc>
      </w:tr>
      <w:tr w:rsidR="006A172A" w:rsidRPr="00D96752" w14:paraId="554DCAB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537AF578" w14:textId="2FD55C16"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(8)   În cazul în care o instituție funcționează de mai puțin de trei ani, aceasta utilizează estimări ale evoluției activității pentru calcularea componentelor relevante ale indicatorului său de activitate, cu condiția ca acestea să fie considerate satisfăcătoare de către autoritatea sa competentă. Instituția începe să utilizeze date istorice de îndată ce acestea sunt disponibile.</w:t>
            </w:r>
          </w:p>
        </w:tc>
        <w:tc>
          <w:tcPr>
            <w:tcW w:w="1588" w:type="pct"/>
            <w:shd w:val="clear" w:color="auto" w:fill="auto"/>
          </w:tcPr>
          <w:p w14:paraId="2F27F0A9" w14:textId="1C7E8FC0" w:rsidR="006A172A" w:rsidRPr="00D96752" w:rsidRDefault="00DC6494" w:rsidP="006A172A">
            <w:pPr>
              <w:spacing w:after="0" w:line="276" w:lineRule="auto"/>
              <w:jc w:val="both"/>
              <w:rPr>
                <w:rFonts w:ascii="Times New Roman" w:hAnsi="Times New Roman" w:cs="Times New Roman"/>
                <w:bCs/>
                <w:color w:val="000000" w:themeColor="text1"/>
                <w:lang w:val="ro-MD"/>
              </w:rPr>
            </w:pPr>
            <w:bookmarkStart w:id="25" w:name="_Hlk193291715"/>
            <w:r w:rsidRPr="00D96752">
              <w:rPr>
                <w:rFonts w:ascii="Times New Roman" w:hAnsi="Times New Roman" w:cs="Times New Roman"/>
                <w:bCs/>
                <w:color w:val="000000" w:themeColor="text1"/>
                <w:lang w:val="ro-MD"/>
              </w:rPr>
              <w:t>13.</w:t>
            </w:r>
            <w:r w:rsidR="006A172A" w:rsidRPr="00D96752">
              <w:rPr>
                <w:rFonts w:ascii="Times New Roman" w:hAnsi="Times New Roman" w:cs="Times New Roman"/>
                <w:bCs/>
                <w:color w:val="000000" w:themeColor="text1"/>
                <w:lang w:val="ro-MD"/>
              </w:rPr>
              <w:t>   În cazul în care o </w:t>
            </w:r>
            <w:r w:rsidRPr="00D96752">
              <w:rPr>
                <w:rFonts w:ascii="Times New Roman" w:hAnsi="Times New Roman" w:cs="Times New Roman"/>
                <w:bCs/>
                <w:color w:val="000000" w:themeColor="text1"/>
                <w:lang w:val="ro-MD"/>
              </w:rPr>
              <w:t xml:space="preserve">bancă </w:t>
            </w:r>
            <w:r w:rsidR="006A172A" w:rsidRPr="00D96752">
              <w:rPr>
                <w:rFonts w:ascii="Times New Roman" w:hAnsi="Times New Roman" w:cs="Times New Roman"/>
                <w:bCs/>
                <w:color w:val="000000" w:themeColor="text1"/>
                <w:lang w:val="ro-MD"/>
              </w:rPr>
              <w:t xml:space="preserve">funcționează de mai puțin de trei ani, aceasta utilizează estimări ale evoluției activității pentru calcularea componentelor relevante ale indicatorului său de activitate, cu condiția ca acestea să fie considerate satisfăcătoare de către </w:t>
            </w:r>
            <w:r w:rsidRPr="00D96752">
              <w:rPr>
                <w:rFonts w:ascii="Times New Roman" w:hAnsi="Times New Roman" w:cs="Times New Roman"/>
                <w:bCs/>
                <w:color w:val="000000" w:themeColor="text1"/>
                <w:lang w:val="ro-MD"/>
              </w:rPr>
              <w:t>BNM</w:t>
            </w:r>
            <w:r w:rsidR="000A4BEC" w:rsidRPr="00D96752">
              <w:rPr>
                <w:lang w:val="ro-MD"/>
              </w:rPr>
              <w:t xml:space="preserve"> </w:t>
            </w:r>
            <w:r w:rsidR="000A4BEC" w:rsidRPr="00D96752">
              <w:rPr>
                <w:rFonts w:ascii="Times New Roman" w:hAnsi="Times New Roman" w:cs="Times New Roman"/>
                <w:bCs/>
                <w:color w:val="000000" w:themeColor="text1"/>
                <w:lang w:val="ro-MD"/>
              </w:rPr>
              <w:t>în cadrul procesului de supraveghere</w:t>
            </w:r>
            <w:r w:rsidR="006A172A"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 xml:space="preserve">Banca </w:t>
            </w:r>
            <w:r w:rsidR="006A172A" w:rsidRPr="00D96752">
              <w:rPr>
                <w:rFonts w:ascii="Times New Roman" w:hAnsi="Times New Roman" w:cs="Times New Roman"/>
                <w:bCs/>
                <w:color w:val="000000" w:themeColor="text1"/>
                <w:lang w:val="ro-MD"/>
              </w:rPr>
              <w:t>începe să utilizeze date istorice de îndată ce acestea sunt disponibile.</w:t>
            </w:r>
            <w:bookmarkEnd w:id="25"/>
          </w:p>
        </w:tc>
        <w:tc>
          <w:tcPr>
            <w:tcW w:w="580" w:type="pct"/>
          </w:tcPr>
          <w:p w14:paraId="2A4844BC" w14:textId="088D1AA9" w:rsidR="006A172A" w:rsidRPr="00D96752" w:rsidRDefault="00703DC9"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3181A2C2" w14:textId="77777777" w:rsidR="006A172A" w:rsidRPr="00D96752" w:rsidRDefault="006A172A" w:rsidP="006A172A">
            <w:pPr>
              <w:spacing w:line="276" w:lineRule="auto"/>
              <w:jc w:val="both"/>
              <w:rPr>
                <w:rFonts w:ascii="Times New Roman" w:hAnsi="Times New Roman" w:cs="Times New Roman"/>
                <w:bCs/>
                <w:color w:val="000000" w:themeColor="text1"/>
                <w:lang w:val="ro-MD"/>
              </w:rPr>
            </w:pPr>
          </w:p>
        </w:tc>
      </w:tr>
      <w:tr w:rsidR="006A172A" w:rsidRPr="00D96752" w14:paraId="7F344DC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7F29EF6" w14:textId="1E373542"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(9)   ABE elaborează proiecte de standarde tehnice de reglementare pentru a preciza următoarele:</w:t>
            </w:r>
          </w:p>
          <w:p w14:paraId="58F428A3" w14:textId="4702F095"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 xml:space="preserve">(a) componentele indicatorului de activitate și utilizarea acestora, prin elaborarea unor liste de </w:t>
            </w:r>
            <w:proofErr w:type="spellStart"/>
            <w:r w:rsidRPr="00D96752">
              <w:rPr>
                <w:rFonts w:ascii="Times New Roman" w:hAnsi="Times New Roman" w:cs="Times New Roman"/>
                <w:bCs/>
                <w:color w:val="000000" w:themeColor="text1"/>
                <w:lang w:val="ro-MD"/>
              </w:rPr>
              <w:t>subelemente</w:t>
            </w:r>
            <w:proofErr w:type="spellEnd"/>
            <w:r w:rsidRPr="00D96752">
              <w:rPr>
                <w:rFonts w:ascii="Times New Roman" w:hAnsi="Times New Roman" w:cs="Times New Roman"/>
                <w:bCs/>
                <w:color w:val="000000" w:themeColor="text1"/>
                <w:lang w:val="ro-MD"/>
              </w:rPr>
              <w:t xml:space="preserve"> tipice, ținând seama de standardele de reglementare internaționale și, după caz, de limitele prudențiale definite în partea a treia titlul I capitolul 3;</w:t>
            </w:r>
          </w:p>
          <w:p w14:paraId="706DA89E" w14:textId="56D4592C"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elementele menționate la alineatul (7) din prezentul articol.</w:t>
            </w:r>
          </w:p>
          <w:p w14:paraId="39EAB60D" w14:textId="77777777"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2026.</w:t>
            </w:r>
          </w:p>
          <w:p w14:paraId="54069F10" w14:textId="2B6DCD0B"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1588" w:type="pct"/>
            <w:shd w:val="clear" w:color="auto" w:fill="auto"/>
          </w:tcPr>
          <w:p w14:paraId="1D10FB9C" w14:textId="4469DC8B" w:rsidR="006A172A" w:rsidRPr="00D96752" w:rsidRDefault="006A172A" w:rsidP="006A172A">
            <w:pPr>
              <w:spacing w:after="0" w:line="276" w:lineRule="auto"/>
              <w:jc w:val="both"/>
              <w:rPr>
                <w:rFonts w:ascii="Times New Roman" w:hAnsi="Times New Roman" w:cs="Times New Roman"/>
                <w:bCs/>
                <w:color w:val="000000" w:themeColor="text1"/>
                <w:lang w:val="ro-MD"/>
              </w:rPr>
            </w:pPr>
          </w:p>
        </w:tc>
        <w:tc>
          <w:tcPr>
            <w:tcW w:w="580" w:type="pct"/>
          </w:tcPr>
          <w:p w14:paraId="2F915E7F" w14:textId="59CB2699" w:rsidR="006A172A" w:rsidRPr="00D96752" w:rsidRDefault="00326451"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76E30B45" w14:textId="0A1847B6" w:rsidR="006A172A" w:rsidRPr="00D96752" w:rsidRDefault="00C326AB"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C326AB" w:rsidRPr="00D96752" w14:paraId="463FC834"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87D073F" w14:textId="63B05DAD"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(10)   ABE elaborează proiecte de standarde tehnice de punere în aplicare pentru a preciza elementele indicatorului de activitate prin punerea în corespondență a elementelor respective cu celulele de raportare corespunzătoare prevăzute în Regulamentul de punere în aplicare (UE) 2021/451 al Comisiei (</w:t>
            </w:r>
            <w:hyperlink r:id="rId10" w:anchor="E0034" w:history="1">
              <w:r w:rsidRPr="00D96752">
                <w:rPr>
                  <w:rStyle w:val="Hyperlink"/>
                  <w:rFonts w:ascii="Times New Roman" w:hAnsi="Times New Roman" w:cs="Times New Roman"/>
                  <w:bCs/>
                  <w:lang w:val="ro-MD"/>
                </w:rPr>
                <w:t> </w:t>
              </w:r>
              <w:r w:rsidRPr="00D96752">
                <w:rPr>
                  <w:rStyle w:val="Hyperlink"/>
                  <w:rFonts w:ascii="Times New Roman" w:hAnsi="Times New Roman" w:cs="Times New Roman"/>
                  <w:bCs/>
                  <w:vertAlign w:val="superscript"/>
                  <w:lang w:val="ro-MD"/>
                </w:rPr>
                <w:t>33</w:t>
              </w:r>
              <w:r w:rsidRPr="00D96752">
                <w:rPr>
                  <w:rStyle w:val="Hyperlink"/>
                  <w:rFonts w:ascii="Times New Roman" w:hAnsi="Times New Roman" w:cs="Times New Roman"/>
                  <w:bCs/>
                  <w:lang w:val="ro-MD"/>
                </w:rPr>
                <w:t> </w:t>
              </w:r>
            </w:hyperlink>
            <w:r w:rsidRPr="00D96752">
              <w:rPr>
                <w:rFonts w:ascii="Times New Roman" w:hAnsi="Times New Roman" w:cs="Times New Roman"/>
                <w:bCs/>
                <w:color w:val="000000" w:themeColor="text1"/>
                <w:lang w:val="ro-MD"/>
              </w:rPr>
              <w:t>), după caz.</w:t>
            </w:r>
          </w:p>
          <w:p w14:paraId="3F8BB1C3" w14:textId="77777777"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punere în aplicare până la 10 ianuarie 2026.</w:t>
            </w:r>
          </w:p>
          <w:p w14:paraId="2E6BAA07" w14:textId="0006A558"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Se conferă Comisiei competența de a adopta standardele tehnice de punere în aplicare menționate la </w:t>
            </w:r>
            <w:r w:rsidRPr="00D96752">
              <w:rPr>
                <w:rFonts w:ascii="Times New Roman" w:hAnsi="Times New Roman" w:cs="Times New Roman"/>
                <w:bCs/>
                <w:color w:val="000000" w:themeColor="text1"/>
                <w:lang w:val="ro-MD"/>
              </w:rPr>
              <w:lastRenderedPageBreak/>
              <w:t>primul paragraf din prezentul alineat, în conformitate cu articolul 15 din Regulamentul (UE) nr. 1093/2010.</w:t>
            </w:r>
          </w:p>
        </w:tc>
        <w:tc>
          <w:tcPr>
            <w:tcW w:w="1588" w:type="pct"/>
            <w:shd w:val="clear" w:color="auto" w:fill="auto"/>
          </w:tcPr>
          <w:p w14:paraId="73668BE8" w14:textId="58E5452B" w:rsidR="00C326AB" w:rsidRPr="00D96752" w:rsidRDefault="00C326AB" w:rsidP="00C326AB">
            <w:pPr>
              <w:spacing w:after="0" w:line="276" w:lineRule="auto"/>
              <w:jc w:val="both"/>
              <w:rPr>
                <w:rFonts w:ascii="Times New Roman" w:hAnsi="Times New Roman" w:cs="Times New Roman"/>
                <w:bCs/>
                <w:color w:val="000000" w:themeColor="text1"/>
                <w:lang w:val="ro-MD"/>
              </w:rPr>
            </w:pPr>
          </w:p>
        </w:tc>
        <w:tc>
          <w:tcPr>
            <w:tcW w:w="580" w:type="pct"/>
          </w:tcPr>
          <w:p w14:paraId="40123A6B" w14:textId="0A8A52C5" w:rsidR="00C326AB" w:rsidRPr="00D96752" w:rsidRDefault="00C326AB"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1657ED85" w14:textId="77960CA1" w:rsidR="00C326AB" w:rsidRPr="00D96752" w:rsidRDefault="00C326AB"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6A172A" w:rsidRPr="00D96752" w14:paraId="26383C8A"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3508DBD" w14:textId="77777777" w:rsidR="006A172A" w:rsidRPr="00D96752" w:rsidRDefault="006A172A" w:rsidP="006A172A">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315</w:t>
            </w:r>
          </w:p>
          <w:p w14:paraId="445A3A0A" w14:textId="77777777" w:rsidR="006A172A" w:rsidRPr="00D96752" w:rsidRDefault="006A172A" w:rsidP="006A172A">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Ajustările indicatorului de activitate</w:t>
            </w:r>
          </w:p>
          <w:p w14:paraId="3E9DE701" w14:textId="458D93EA" w:rsidR="006A172A" w:rsidRPr="00D96752" w:rsidRDefault="006A172A"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Instituțiile includ în calculul indicatorului lor de activitate elementele indicatorului de activitate aferente entităților sau activităților fuzionate sau achiziționate din momentul fuziunii sau al achiziției, după caz, acoperind ultimele trei exerciții financiare.</w:t>
            </w:r>
          </w:p>
        </w:tc>
        <w:tc>
          <w:tcPr>
            <w:tcW w:w="1588" w:type="pct"/>
            <w:shd w:val="clear" w:color="auto" w:fill="auto"/>
          </w:tcPr>
          <w:p w14:paraId="51D17BDF" w14:textId="5A5EFF38" w:rsidR="006A172A" w:rsidRPr="00D96752" w:rsidRDefault="00C326AB" w:rsidP="006A172A">
            <w:pPr>
              <w:spacing w:after="0" w:line="276" w:lineRule="auto"/>
              <w:jc w:val="both"/>
              <w:rPr>
                <w:rFonts w:ascii="Times New Roman" w:hAnsi="Times New Roman" w:cs="Times New Roman"/>
                <w:b/>
                <w:bCs/>
                <w:color w:val="000000" w:themeColor="text1"/>
                <w:lang w:val="ro-MD"/>
              </w:rPr>
            </w:pPr>
            <w:bookmarkStart w:id="26" w:name="_Hlk193292508"/>
            <w:r w:rsidRPr="00D96752">
              <w:rPr>
                <w:rFonts w:ascii="Times New Roman" w:hAnsi="Times New Roman" w:cs="Times New Roman"/>
                <w:b/>
                <w:bCs/>
                <w:sz w:val="24"/>
                <w:szCs w:val="24"/>
                <w:lang w:val="it-IT"/>
              </w:rPr>
              <w:t xml:space="preserve">Secțiunea 3. </w:t>
            </w:r>
            <w:r w:rsidR="006A172A" w:rsidRPr="00D96752">
              <w:rPr>
                <w:rFonts w:ascii="Times New Roman" w:hAnsi="Times New Roman" w:cs="Times New Roman"/>
                <w:b/>
                <w:bCs/>
                <w:color w:val="000000" w:themeColor="text1"/>
                <w:lang w:val="ro-MD"/>
              </w:rPr>
              <w:t>Ajustările indicatorului de activitate</w:t>
            </w:r>
          </w:p>
          <w:p w14:paraId="4AB3D6D2" w14:textId="706B5EA8" w:rsidR="006A172A" w:rsidRPr="00D96752" w:rsidRDefault="00C326AB" w:rsidP="006A172A">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14.</w:t>
            </w:r>
            <w:r w:rsidR="006A172A" w:rsidRPr="00D96752">
              <w:rPr>
                <w:rFonts w:ascii="Times New Roman" w:hAnsi="Times New Roman" w:cs="Times New Roman"/>
                <w:bCs/>
                <w:color w:val="000000" w:themeColor="text1"/>
                <w:lang w:val="ro-MD"/>
              </w:rPr>
              <w:t>   </w:t>
            </w:r>
            <w:r w:rsidRPr="00D96752">
              <w:rPr>
                <w:rFonts w:ascii="Times New Roman" w:hAnsi="Times New Roman" w:cs="Times New Roman"/>
                <w:bCs/>
                <w:color w:val="000000" w:themeColor="text1"/>
                <w:lang w:val="ro-MD"/>
              </w:rPr>
              <w:t xml:space="preserve">Băncile </w:t>
            </w:r>
            <w:r w:rsidR="006A172A" w:rsidRPr="00D96752">
              <w:rPr>
                <w:rFonts w:ascii="Times New Roman" w:hAnsi="Times New Roman" w:cs="Times New Roman"/>
                <w:bCs/>
                <w:color w:val="000000" w:themeColor="text1"/>
                <w:lang w:val="ro-MD"/>
              </w:rPr>
              <w:t>includ în calculul indicatorului lor de activitate elementele indicatorului de activitate aferente entităților sau activităților fuzionate sau achiziționate din momentul fuziunii sau al achiziției, după caz, acoperind ultimele trei exerciții financiare.</w:t>
            </w:r>
            <w:bookmarkEnd w:id="26"/>
          </w:p>
        </w:tc>
        <w:tc>
          <w:tcPr>
            <w:tcW w:w="580" w:type="pct"/>
          </w:tcPr>
          <w:p w14:paraId="70451EBD" w14:textId="3C9A6693" w:rsidR="006A172A" w:rsidRPr="00D96752" w:rsidRDefault="00C326AB"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26B91A72" w14:textId="77777777" w:rsidR="006A172A" w:rsidRPr="00D96752" w:rsidRDefault="006A172A" w:rsidP="006A172A">
            <w:pPr>
              <w:spacing w:line="276" w:lineRule="auto"/>
              <w:jc w:val="both"/>
              <w:rPr>
                <w:rFonts w:ascii="Times New Roman" w:hAnsi="Times New Roman" w:cs="Times New Roman"/>
                <w:bCs/>
                <w:color w:val="000000" w:themeColor="text1"/>
                <w:lang w:val="ro-MD"/>
              </w:rPr>
            </w:pPr>
          </w:p>
        </w:tc>
      </w:tr>
      <w:tr w:rsidR="006A172A" w:rsidRPr="00D96752" w14:paraId="4474B65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66FCDD3" w14:textId="53B18E89" w:rsidR="006A172A" w:rsidRPr="00D96752" w:rsidRDefault="006A172A" w:rsidP="006A172A">
            <w:pPr>
              <w:spacing w:after="0" w:line="276" w:lineRule="auto"/>
              <w:jc w:val="both"/>
              <w:rPr>
                <w:rFonts w:ascii="Times New Roman" w:hAnsi="Times New Roman" w:cs="Times New Roman"/>
                <w:bCs/>
                <w:color w:val="000000" w:themeColor="text1"/>
                <w:lang w:val="ro-MD"/>
              </w:rPr>
            </w:pPr>
            <w:bookmarkStart w:id="27" w:name="_Hlk193369741"/>
            <w:r w:rsidRPr="00D96752">
              <w:rPr>
                <w:rFonts w:ascii="Times New Roman" w:hAnsi="Times New Roman" w:cs="Times New Roman"/>
                <w:bCs/>
                <w:color w:val="000000" w:themeColor="text1"/>
                <w:lang w:val="ro-MD"/>
              </w:rPr>
              <w:t>(2)   Instituțiile pot solicita autorității competente aprobarea de a exclude din indicatorul de activitate cuantumurile legate de entitățile sau activitățile cedate.</w:t>
            </w:r>
          </w:p>
        </w:tc>
        <w:tc>
          <w:tcPr>
            <w:tcW w:w="1588" w:type="pct"/>
            <w:shd w:val="clear" w:color="auto" w:fill="auto"/>
          </w:tcPr>
          <w:p w14:paraId="0A37C36A" w14:textId="5169F6EB" w:rsidR="006A172A" w:rsidRPr="00D96752" w:rsidRDefault="00C326AB" w:rsidP="006A172A">
            <w:pPr>
              <w:spacing w:after="0" w:line="276" w:lineRule="auto"/>
              <w:jc w:val="both"/>
              <w:rPr>
                <w:rFonts w:ascii="Times New Roman" w:hAnsi="Times New Roman" w:cs="Times New Roman"/>
                <w:bCs/>
                <w:color w:val="000000" w:themeColor="text1"/>
                <w:lang w:val="ro-MD"/>
              </w:rPr>
            </w:pPr>
            <w:bookmarkStart w:id="28" w:name="_Hlk193369760"/>
            <w:r w:rsidRPr="00D96752">
              <w:rPr>
                <w:rFonts w:ascii="Times New Roman" w:hAnsi="Times New Roman" w:cs="Times New Roman"/>
                <w:bCs/>
                <w:color w:val="000000" w:themeColor="text1"/>
                <w:lang w:val="ro-MD"/>
              </w:rPr>
              <w:t>15.</w:t>
            </w:r>
            <w:r w:rsidR="006A172A" w:rsidRPr="00D96752">
              <w:rPr>
                <w:rFonts w:ascii="Times New Roman" w:hAnsi="Times New Roman" w:cs="Times New Roman"/>
                <w:bCs/>
                <w:color w:val="000000" w:themeColor="text1"/>
                <w:lang w:val="ro-MD"/>
              </w:rPr>
              <w:t>   </w:t>
            </w:r>
            <w:r w:rsidRPr="00D96752">
              <w:rPr>
                <w:rFonts w:ascii="Times New Roman" w:hAnsi="Times New Roman" w:cs="Times New Roman"/>
                <w:bCs/>
                <w:color w:val="000000" w:themeColor="text1"/>
                <w:lang w:val="ro-MD"/>
              </w:rPr>
              <w:t xml:space="preserve">Băncile </w:t>
            </w:r>
            <w:r w:rsidR="006A172A" w:rsidRPr="00D96752">
              <w:rPr>
                <w:rFonts w:ascii="Times New Roman" w:hAnsi="Times New Roman" w:cs="Times New Roman"/>
                <w:bCs/>
                <w:color w:val="000000" w:themeColor="text1"/>
                <w:lang w:val="ro-MD"/>
              </w:rPr>
              <w:t xml:space="preserve">pot solicita </w:t>
            </w:r>
            <w:r w:rsidRPr="00D96752">
              <w:rPr>
                <w:rFonts w:ascii="Times New Roman" w:hAnsi="Times New Roman" w:cs="Times New Roman"/>
                <w:bCs/>
                <w:color w:val="000000" w:themeColor="text1"/>
                <w:lang w:val="ro-MD"/>
              </w:rPr>
              <w:t>BNM</w:t>
            </w:r>
            <w:r w:rsidR="006A172A" w:rsidRPr="00D96752">
              <w:rPr>
                <w:rFonts w:ascii="Times New Roman" w:hAnsi="Times New Roman" w:cs="Times New Roman"/>
                <w:bCs/>
                <w:color w:val="000000" w:themeColor="text1"/>
                <w:lang w:val="ro-MD"/>
              </w:rPr>
              <w:t xml:space="preserve"> aprobarea </w:t>
            </w:r>
            <w:r w:rsidR="00D01157" w:rsidRPr="00D96752">
              <w:rPr>
                <w:rFonts w:ascii="Times New Roman" w:hAnsi="Times New Roman" w:cs="Times New Roman"/>
                <w:bCs/>
                <w:color w:val="000000" w:themeColor="text1"/>
                <w:lang w:val="ro-MD"/>
              </w:rPr>
              <w:t xml:space="preserve">prealabilă </w:t>
            </w:r>
            <w:r w:rsidR="006A172A" w:rsidRPr="00D96752">
              <w:rPr>
                <w:rFonts w:ascii="Times New Roman" w:hAnsi="Times New Roman" w:cs="Times New Roman"/>
                <w:bCs/>
                <w:color w:val="000000" w:themeColor="text1"/>
                <w:lang w:val="ro-MD"/>
              </w:rPr>
              <w:t>de a exclude din indicatorul de activitate cuantumurile legate de entitățile sau activitățile cedate.</w:t>
            </w:r>
            <w:bookmarkEnd w:id="28"/>
          </w:p>
        </w:tc>
        <w:tc>
          <w:tcPr>
            <w:tcW w:w="580" w:type="pct"/>
          </w:tcPr>
          <w:p w14:paraId="18506FFC" w14:textId="76BCCE4C" w:rsidR="006A172A" w:rsidRPr="00D96752" w:rsidRDefault="00C326AB" w:rsidP="006A172A">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60E4CC0B" w14:textId="77777777" w:rsidR="006A172A" w:rsidRPr="00D96752" w:rsidRDefault="006A172A" w:rsidP="006A172A">
            <w:pPr>
              <w:spacing w:line="276" w:lineRule="auto"/>
              <w:jc w:val="both"/>
              <w:rPr>
                <w:rFonts w:ascii="Times New Roman" w:hAnsi="Times New Roman" w:cs="Times New Roman"/>
                <w:bCs/>
                <w:color w:val="000000" w:themeColor="text1"/>
                <w:lang w:val="ro-MD"/>
              </w:rPr>
            </w:pPr>
          </w:p>
        </w:tc>
      </w:tr>
      <w:bookmarkEnd w:id="27"/>
      <w:tr w:rsidR="00C326AB" w:rsidRPr="00D96752" w14:paraId="2DD33E1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58F70DB" w14:textId="5DB61069"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   ABE elaborează proiecte de standarde tehnice de reglementare pentru a preciza următoarele:</w:t>
            </w:r>
          </w:p>
          <w:p w14:paraId="20878D3A" w14:textId="2CA0628A"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modul în care instituțiile trebuie să determine ajustările indicatorului de activitate menționate la alineatele (1) și (2);</w:t>
            </w:r>
          </w:p>
          <w:p w14:paraId="745BFAF2" w14:textId="1FF10C2C"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condițiile în care autoritățile competente sunt în măsură să acorde aprobarea menționată la alineatul (2);</w:t>
            </w:r>
          </w:p>
          <w:p w14:paraId="43AD2959" w14:textId="77777777"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momentul efectuării ajustărilor menționate la alineatul (2).</w:t>
            </w:r>
          </w:p>
          <w:p w14:paraId="43471764" w14:textId="77777777"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2026.</w:t>
            </w:r>
          </w:p>
          <w:p w14:paraId="66B87F9E" w14:textId="00E36E04"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Se deleagă Comisiei competența de a completa prezentul regulament prin adoptarea standardelor tehnice de reglementare menționate la primul paragraf </w:t>
            </w:r>
            <w:r w:rsidRPr="00D96752">
              <w:rPr>
                <w:rFonts w:ascii="Times New Roman" w:hAnsi="Times New Roman" w:cs="Times New Roman"/>
                <w:bCs/>
                <w:color w:val="000000" w:themeColor="text1"/>
                <w:lang w:val="ro-MD"/>
              </w:rPr>
              <w:lastRenderedPageBreak/>
              <w:t>de la prezentul alineat în conformitate cu articolele 10-14 din Regulamentul (UE) nr. 1093/2010.</w:t>
            </w:r>
          </w:p>
        </w:tc>
        <w:tc>
          <w:tcPr>
            <w:tcW w:w="1588" w:type="pct"/>
            <w:shd w:val="clear" w:color="auto" w:fill="auto"/>
          </w:tcPr>
          <w:p w14:paraId="4F04B2DB" w14:textId="7FD6BBC7" w:rsidR="00C326AB" w:rsidRPr="00D96752" w:rsidRDefault="00C326AB" w:rsidP="00C326AB">
            <w:pPr>
              <w:spacing w:after="0" w:line="276" w:lineRule="auto"/>
              <w:jc w:val="both"/>
              <w:rPr>
                <w:rFonts w:ascii="Times New Roman" w:hAnsi="Times New Roman" w:cs="Times New Roman"/>
                <w:bCs/>
                <w:color w:val="000000" w:themeColor="text1"/>
                <w:lang w:val="ro-MD"/>
              </w:rPr>
            </w:pPr>
          </w:p>
        </w:tc>
        <w:tc>
          <w:tcPr>
            <w:tcW w:w="580" w:type="pct"/>
          </w:tcPr>
          <w:p w14:paraId="024E48F7" w14:textId="52200F12" w:rsidR="00C326AB" w:rsidRPr="00D96752" w:rsidRDefault="00C326AB"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1051D133" w14:textId="32EEF770" w:rsidR="00C326AB" w:rsidRPr="00D96752" w:rsidRDefault="00C326AB"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C326AB" w:rsidRPr="00D96752" w14:paraId="2D3E7AFB"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9207E9C" w14:textId="77777777"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CAPITOLUL 2</w:t>
            </w:r>
          </w:p>
          <w:p w14:paraId="6EA62DC4" w14:textId="77777777" w:rsidR="00C326AB" w:rsidRPr="00D96752" w:rsidRDefault="00C326AB" w:rsidP="00C326AB">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COLECTAREA DATELOR ȘI GUVERNANȚA</w:t>
            </w:r>
          </w:p>
          <w:p w14:paraId="7836A538" w14:textId="77777777" w:rsidR="00C326AB" w:rsidRPr="00D96752" w:rsidRDefault="00C326AB" w:rsidP="00C326AB">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316</w:t>
            </w:r>
          </w:p>
          <w:p w14:paraId="636D60A2" w14:textId="77777777" w:rsidR="00C326AB" w:rsidRPr="00D96752" w:rsidRDefault="00C326AB" w:rsidP="00C326AB">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Calcularea pierderii anuale din riscul operațional</w:t>
            </w:r>
          </w:p>
          <w:p w14:paraId="6F012B7B" w14:textId="01314812"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Instituțiile cu un indicator de activitate mai mare sau egal cu 750 de milioane EUR își calculează pierderea anuală din riscul operațional ca sumă a tuturor pierderilor nete dintr-un exercițiu financiar dat, calculate în conformitate cu articolul 318 alineatul (1), care sunt egale sau mai mari decât pragurile datelor privind pierderile prevăzute la articolul 319 alineatul (1) sau (2).</w:t>
            </w:r>
          </w:p>
          <w:p w14:paraId="43B63C04" w14:textId="5AA69954"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Prin derogare de la primul paragraf, autoritățile competente le pot acorda instituțiilor cu un indicator de activitate care nu depășește 1 miliard EUR o derogare de la cerința de a calcula pierderea anuală din riscul operațional, cu condiția ca instituția în cauză să fi demonstrat, într-un mod considerat satisfăcător de autoritatea competentă, că aplicarea primului paragraf ar constitui pentru aceasta o povară nejustificată.</w:t>
            </w:r>
          </w:p>
        </w:tc>
        <w:tc>
          <w:tcPr>
            <w:tcW w:w="1588" w:type="pct"/>
            <w:shd w:val="clear" w:color="auto" w:fill="auto"/>
          </w:tcPr>
          <w:p w14:paraId="37FBF7DA" w14:textId="6BEEC756" w:rsidR="00C326AB" w:rsidRPr="00D96752" w:rsidRDefault="00C326AB" w:rsidP="00C326AB">
            <w:pPr>
              <w:spacing w:after="0" w:line="276" w:lineRule="auto"/>
              <w:jc w:val="both"/>
              <w:rPr>
                <w:rFonts w:ascii="Times New Roman" w:hAnsi="Times New Roman" w:cs="Times New Roman"/>
                <w:bCs/>
                <w:color w:val="000000" w:themeColor="text1"/>
                <w:lang w:val="ro-MD"/>
              </w:rPr>
            </w:pPr>
            <w:bookmarkStart w:id="29" w:name="_Hlk193369797"/>
            <w:r w:rsidRPr="00D96752">
              <w:rPr>
                <w:rFonts w:ascii="Times New Roman" w:hAnsi="Times New Roman" w:cs="Times New Roman"/>
                <w:bCs/>
                <w:color w:val="000000" w:themeColor="text1"/>
                <w:lang w:val="ro-MD"/>
              </w:rPr>
              <w:t>CAPITOLUL III</w:t>
            </w:r>
          </w:p>
          <w:p w14:paraId="586047E7" w14:textId="77777777" w:rsidR="00C326AB" w:rsidRPr="00D96752" w:rsidRDefault="00C326AB" w:rsidP="00C326AB">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COLECTAREA DATELOR ȘI GUVERNANȚA</w:t>
            </w:r>
          </w:p>
          <w:p w14:paraId="7745E775" w14:textId="4B5D6001" w:rsidR="00C326AB" w:rsidRPr="00D96752" w:rsidRDefault="00D33A79" w:rsidP="00C326AB">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sz w:val="24"/>
                <w:szCs w:val="24"/>
                <w:lang w:val="it-IT"/>
              </w:rPr>
              <w:t xml:space="preserve">Secțiunea 1. </w:t>
            </w:r>
            <w:r w:rsidR="00C326AB" w:rsidRPr="00D96752">
              <w:rPr>
                <w:rFonts w:ascii="Times New Roman" w:hAnsi="Times New Roman" w:cs="Times New Roman"/>
                <w:b/>
                <w:bCs/>
                <w:color w:val="000000" w:themeColor="text1"/>
                <w:lang w:val="ro-MD"/>
              </w:rPr>
              <w:t>Calcularea pierderii anuale din riscul operațional</w:t>
            </w:r>
          </w:p>
          <w:p w14:paraId="4FCD6911" w14:textId="4E240B2F" w:rsidR="00C326AB" w:rsidRPr="00D96752" w:rsidRDefault="00BB7974"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w:t>
            </w:r>
            <w:r w:rsidR="00F2779A" w:rsidRPr="00D96752">
              <w:rPr>
                <w:rFonts w:ascii="Times New Roman" w:hAnsi="Times New Roman" w:cs="Times New Roman"/>
                <w:bCs/>
                <w:color w:val="000000" w:themeColor="text1"/>
                <w:lang w:val="ro-MD"/>
              </w:rPr>
              <w:t>6</w:t>
            </w:r>
            <w:r w:rsidRPr="00D96752">
              <w:rPr>
                <w:rFonts w:ascii="Times New Roman" w:hAnsi="Times New Roman" w:cs="Times New Roman"/>
                <w:bCs/>
                <w:color w:val="000000" w:themeColor="text1"/>
                <w:lang w:val="ro-MD"/>
              </w:rPr>
              <w:t>.</w:t>
            </w:r>
            <w:r w:rsidR="00C326AB" w:rsidRPr="00D96752">
              <w:rPr>
                <w:rFonts w:ascii="Times New Roman" w:hAnsi="Times New Roman" w:cs="Times New Roman"/>
                <w:bCs/>
                <w:color w:val="000000" w:themeColor="text1"/>
                <w:lang w:val="ro-MD"/>
              </w:rPr>
              <w:t>   </w:t>
            </w:r>
            <w:r w:rsidRPr="00D96752">
              <w:rPr>
                <w:rFonts w:ascii="Times New Roman" w:hAnsi="Times New Roman" w:cs="Times New Roman"/>
                <w:bCs/>
                <w:color w:val="000000" w:themeColor="text1"/>
                <w:lang w:val="ro-MD"/>
              </w:rPr>
              <w:t xml:space="preserve">Băncile </w:t>
            </w:r>
            <w:r w:rsidR="00C326AB" w:rsidRPr="00D96752">
              <w:rPr>
                <w:rFonts w:ascii="Times New Roman" w:hAnsi="Times New Roman" w:cs="Times New Roman"/>
                <w:bCs/>
                <w:color w:val="000000" w:themeColor="text1"/>
                <w:lang w:val="ro-MD"/>
              </w:rPr>
              <w:t>cu un indicator de activitate mai mare sau egal cu</w:t>
            </w:r>
            <w:r w:rsidR="000A4BEC" w:rsidRPr="00D96752">
              <w:rPr>
                <w:lang w:val="it-IT"/>
              </w:rPr>
              <w:t xml:space="preserve"> </w:t>
            </w:r>
            <w:r w:rsidR="00C326AB" w:rsidRPr="00D96752">
              <w:rPr>
                <w:rFonts w:ascii="Times New Roman" w:hAnsi="Times New Roman" w:cs="Times New Roman"/>
                <w:bCs/>
                <w:color w:val="000000" w:themeColor="text1"/>
                <w:lang w:val="ro-MD"/>
              </w:rPr>
              <w:t xml:space="preserve">750 de milioane </w:t>
            </w:r>
            <w:r w:rsidR="00B6783C" w:rsidRPr="00D96752">
              <w:rPr>
                <w:rFonts w:ascii="Times New Roman" w:hAnsi="Times New Roman" w:cs="Times New Roman"/>
                <w:bCs/>
                <w:color w:val="000000" w:themeColor="text1"/>
                <w:lang w:val="ro-MD"/>
              </w:rPr>
              <w:t xml:space="preserve">lei moldovenești </w:t>
            </w:r>
            <w:r w:rsidR="00C326AB" w:rsidRPr="00D96752">
              <w:rPr>
                <w:rFonts w:ascii="Times New Roman" w:hAnsi="Times New Roman" w:cs="Times New Roman"/>
                <w:bCs/>
                <w:color w:val="000000" w:themeColor="text1"/>
                <w:lang w:val="ro-MD"/>
              </w:rPr>
              <w:t xml:space="preserve">își calculează pierderea anuală din riscul operațional ca sumă a tuturor pierderilor nete dintr-un exercițiu financiar dat, calculate în conformitate cu </w:t>
            </w:r>
            <w:r w:rsidR="006767F5" w:rsidRPr="00D96752">
              <w:rPr>
                <w:rFonts w:ascii="Times New Roman" w:hAnsi="Times New Roman" w:cs="Times New Roman"/>
                <w:bCs/>
                <w:color w:val="000000" w:themeColor="text1"/>
                <w:lang w:val="ro-MD"/>
              </w:rPr>
              <w:t>pct.27</w:t>
            </w:r>
            <w:r w:rsidR="00C326AB" w:rsidRPr="00D96752">
              <w:rPr>
                <w:rFonts w:ascii="Times New Roman" w:hAnsi="Times New Roman" w:cs="Times New Roman"/>
                <w:bCs/>
                <w:color w:val="000000" w:themeColor="text1"/>
                <w:lang w:val="ro-MD"/>
              </w:rPr>
              <w:t xml:space="preserve">, care sunt egale sau mai mari decât pragurile datelor privind pierderile prevăzute la </w:t>
            </w:r>
            <w:r w:rsidR="00812DFE" w:rsidRPr="00D96752">
              <w:rPr>
                <w:rFonts w:ascii="Times New Roman" w:hAnsi="Times New Roman" w:cs="Times New Roman"/>
                <w:bCs/>
                <w:color w:val="000000" w:themeColor="text1"/>
                <w:lang w:val="ro-MD"/>
              </w:rPr>
              <w:t>pct.36</w:t>
            </w:r>
            <w:r w:rsidR="00C326AB" w:rsidRPr="00D96752">
              <w:rPr>
                <w:rFonts w:ascii="Times New Roman" w:hAnsi="Times New Roman" w:cs="Times New Roman"/>
                <w:bCs/>
                <w:color w:val="000000" w:themeColor="text1"/>
                <w:lang w:val="ro-MD"/>
              </w:rPr>
              <w:t xml:space="preserve"> sau </w:t>
            </w:r>
            <w:r w:rsidR="00812DFE" w:rsidRPr="00D96752">
              <w:rPr>
                <w:rFonts w:ascii="Times New Roman" w:hAnsi="Times New Roman" w:cs="Times New Roman"/>
                <w:bCs/>
                <w:color w:val="000000" w:themeColor="text1"/>
                <w:lang w:val="ro-MD"/>
              </w:rPr>
              <w:t>37</w:t>
            </w:r>
            <w:r w:rsidR="00C326AB" w:rsidRPr="00D96752">
              <w:rPr>
                <w:rFonts w:ascii="Times New Roman" w:hAnsi="Times New Roman" w:cs="Times New Roman"/>
                <w:bCs/>
                <w:color w:val="000000" w:themeColor="text1"/>
                <w:lang w:val="ro-MD"/>
              </w:rPr>
              <w:t>.</w:t>
            </w:r>
          </w:p>
          <w:p w14:paraId="41293780" w14:textId="322F8072" w:rsidR="00C326AB" w:rsidRPr="00D96752" w:rsidRDefault="00BB7974" w:rsidP="00C326AB">
            <w:pPr>
              <w:spacing w:after="0" w:line="276" w:lineRule="auto"/>
              <w:jc w:val="both"/>
              <w:rPr>
                <w:rFonts w:ascii="Times New Roman" w:hAnsi="Times New Roman" w:cs="Times New Roman"/>
                <w:bCs/>
                <w:color w:val="000000" w:themeColor="text1"/>
                <w:lang w:val="ro-MD"/>
              </w:rPr>
            </w:pPr>
            <w:bookmarkStart w:id="30" w:name="_Hlk193369836"/>
            <w:bookmarkEnd w:id="29"/>
            <w:r w:rsidRPr="00D96752">
              <w:rPr>
                <w:rFonts w:ascii="Times New Roman" w:hAnsi="Times New Roman" w:cs="Times New Roman"/>
                <w:bCs/>
                <w:color w:val="000000" w:themeColor="text1"/>
                <w:lang w:val="ro-MD"/>
              </w:rPr>
              <w:t>1</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 xml:space="preserve">. </w:t>
            </w:r>
            <w:r w:rsidR="00C326AB" w:rsidRPr="00D96752">
              <w:rPr>
                <w:rFonts w:ascii="Times New Roman" w:hAnsi="Times New Roman" w:cs="Times New Roman"/>
                <w:bCs/>
                <w:color w:val="000000" w:themeColor="text1"/>
                <w:lang w:val="ro-MD"/>
              </w:rPr>
              <w:t xml:space="preserve">Prin derogare de la </w:t>
            </w:r>
            <w:r w:rsidRPr="00D96752">
              <w:rPr>
                <w:rFonts w:ascii="Times New Roman" w:hAnsi="Times New Roman" w:cs="Times New Roman"/>
                <w:bCs/>
                <w:color w:val="000000" w:themeColor="text1"/>
                <w:lang w:val="ro-MD"/>
              </w:rPr>
              <w:t>pct.1</w:t>
            </w:r>
            <w:r w:rsidR="00812DFE" w:rsidRPr="00D96752">
              <w:rPr>
                <w:rFonts w:ascii="Times New Roman" w:hAnsi="Times New Roman" w:cs="Times New Roman"/>
                <w:bCs/>
                <w:color w:val="000000" w:themeColor="text1"/>
                <w:lang w:val="ro-MD"/>
              </w:rPr>
              <w:t>6</w:t>
            </w:r>
            <w:r w:rsidR="00C326AB"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BNM</w:t>
            </w:r>
            <w:r w:rsidR="00C326AB" w:rsidRPr="00D96752">
              <w:rPr>
                <w:rFonts w:ascii="Times New Roman" w:hAnsi="Times New Roman" w:cs="Times New Roman"/>
                <w:bCs/>
                <w:color w:val="000000" w:themeColor="text1"/>
                <w:lang w:val="ro-MD"/>
              </w:rPr>
              <w:t xml:space="preserve"> le po</w:t>
            </w:r>
            <w:r w:rsidR="00BC6245" w:rsidRPr="00D96752">
              <w:rPr>
                <w:rFonts w:ascii="Times New Roman" w:hAnsi="Times New Roman" w:cs="Times New Roman"/>
                <w:bCs/>
                <w:color w:val="000000" w:themeColor="text1"/>
                <w:lang w:val="ro-MD"/>
              </w:rPr>
              <w:t>a</w:t>
            </w:r>
            <w:r w:rsidR="00C326AB" w:rsidRPr="00D96752">
              <w:rPr>
                <w:rFonts w:ascii="Times New Roman" w:hAnsi="Times New Roman" w:cs="Times New Roman"/>
                <w:bCs/>
                <w:color w:val="000000" w:themeColor="text1"/>
                <w:lang w:val="ro-MD"/>
              </w:rPr>
              <w:t>t</w:t>
            </w:r>
            <w:r w:rsidR="00BC6245" w:rsidRPr="00D96752">
              <w:rPr>
                <w:rFonts w:ascii="Times New Roman" w:hAnsi="Times New Roman" w:cs="Times New Roman"/>
                <w:bCs/>
                <w:color w:val="000000" w:themeColor="text1"/>
                <w:lang w:val="ro-MD"/>
              </w:rPr>
              <w:t>e</w:t>
            </w:r>
            <w:r w:rsidR="00C326AB" w:rsidRPr="00D96752">
              <w:rPr>
                <w:rFonts w:ascii="Times New Roman" w:hAnsi="Times New Roman" w:cs="Times New Roman"/>
                <w:bCs/>
                <w:color w:val="000000" w:themeColor="text1"/>
                <w:lang w:val="ro-MD"/>
              </w:rPr>
              <w:t xml:space="preserve"> acorda </w:t>
            </w:r>
            <w:r w:rsidRPr="00D96752">
              <w:rPr>
                <w:rFonts w:ascii="Times New Roman" w:hAnsi="Times New Roman" w:cs="Times New Roman"/>
                <w:bCs/>
                <w:color w:val="000000" w:themeColor="text1"/>
                <w:lang w:val="ro-MD"/>
              </w:rPr>
              <w:t xml:space="preserve">băncilor </w:t>
            </w:r>
            <w:r w:rsidR="00C326AB" w:rsidRPr="00D96752">
              <w:rPr>
                <w:rFonts w:ascii="Times New Roman" w:hAnsi="Times New Roman" w:cs="Times New Roman"/>
                <w:bCs/>
                <w:color w:val="000000" w:themeColor="text1"/>
                <w:lang w:val="ro-MD"/>
              </w:rPr>
              <w:t>cu un indicator de activitate care nu depășește</w:t>
            </w:r>
            <w:r w:rsidR="000A4BEC" w:rsidRPr="00D96752">
              <w:rPr>
                <w:lang w:val="it-IT"/>
              </w:rPr>
              <w:t xml:space="preserve"> </w:t>
            </w:r>
            <w:r w:rsidR="00C326AB" w:rsidRPr="00D96752">
              <w:rPr>
                <w:rFonts w:ascii="Times New Roman" w:hAnsi="Times New Roman" w:cs="Times New Roman"/>
                <w:bCs/>
                <w:color w:val="000000" w:themeColor="text1"/>
                <w:lang w:val="ro-MD"/>
              </w:rPr>
              <w:t xml:space="preserve">1 miliard </w:t>
            </w:r>
            <w:r w:rsidR="00B6783C" w:rsidRPr="00D96752">
              <w:rPr>
                <w:rFonts w:ascii="Times New Roman" w:hAnsi="Times New Roman" w:cs="Times New Roman"/>
                <w:bCs/>
                <w:color w:val="000000" w:themeColor="text1"/>
                <w:lang w:val="ro-MD"/>
              </w:rPr>
              <w:t xml:space="preserve">lei moldovenești </w:t>
            </w:r>
            <w:r w:rsidR="00C326AB" w:rsidRPr="00D96752">
              <w:rPr>
                <w:rFonts w:ascii="Times New Roman" w:hAnsi="Times New Roman" w:cs="Times New Roman"/>
                <w:bCs/>
                <w:color w:val="000000" w:themeColor="text1"/>
                <w:lang w:val="ro-MD"/>
              </w:rPr>
              <w:t xml:space="preserve">o derogare de la cerința de a calcula pierderea anuală din riscul operațional, cu condiția ca </w:t>
            </w:r>
            <w:r w:rsidRPr="00D96752">
              <w:rPr>
                <w:rFonts w:ascii="Times New Roman" w:hAnsi="Times New Roman" w:cs="Times New Roman"/>
                <w:bCs/>
                <w:color w:val="000000" w:themeColor="text1"/>
                <w:lang w:val="ro-MD"/>
              </w:rPr>
              <w:t xml:space="preserve">banca </w:t>
            </w:r>
            <w:r w:rsidR="00C326AB" w:rsidRPr="00D96752">
              <w:rPr>
                <w:rFonts w:ascii="Times New Roman" w:hAnsi="Times New Roman" w:cs="Times New Roman"/>
                <w:bCs/>
                <w:color w:val="000000" w:themeColor="text1"/>
                <w:lang w:val="ro-MD"/>
              </w:rPr>
              <w:t xml:space="preserve">în cauză </w:t>
            </w:r>
            <w:r w:rsidR="00483361" w:rsidRPr="00D96752">
              <w:rPr>
                <w:rFonts w:ascii="Times New Roman" w:hAnsi="Times New Roman" w:cs="Times New Roman"/>
                <w:bCs/>
                <w:color w:val="000000" w:themeColor="text1"/>
                <w:lang w:val="ro-MD"/>
              </w:rPr>
              <w:t>va</w:t>
            </w:r>
            <w:r w:rsidR="00C326AB" w:rsidRPr="00D96752">
              <w:rPr>
                <w:rFonts w:ascii="Times New Roman" w:hAnsi="Times New Roman" w:cs="Times New Roman"/>
                <w:bCs/>
                <w:color w:val="000000" w:themeColor="text1"/>
                <w:lang w:val="ro-MD"/>
              </w:rPr>
              <w:t xml:space="preserve"> demonstra într-un mod considerat satisfăcător de </w:t>
            </w:r>
            <w:r w:rsidRPr="00D96752">
              <w:rPr>
                <w:rFonts w:ascii="Times New Roman" w:hAnsi="Times New Roman" w:cs="Times New Roman"/>
                <w:bCs/>
                <w:color w:val="000000" w:themeColor="text1"/>
                <w:lang w:val="ro-MD"/>
              </w:rPr>
              <w:t>BNM</w:t>
            </w:r>
            <w:r w:rsidR="00C326AB" w:rsidRPr="00D96752">
              <w:rPr>
                <w:rFonts w:ascii="Times New Roman" w:hAnsi="Times New Roman" w:cs="Times New Roman"/>
                <w:bCs/>
                <w:color w:val="000000" w:themeColor="text1"/>
                <w:lang w:val="ro-MD"/>
              </w:rPr>
              <w:t xml:space="preserve">, că aplicarea </w:t>
            </w:r>
            <w:r w:rsidRPr="00D96752">
              <w:rPr>
                <w:rFonts w:ascii="Times New Roman" w:hAnsi="Times New Roman" w:cs="Times New Roman"/>
                <w:bCs/>
                <w:color w:val="000000" w:themeColor="text1"/>
                <w:lang w:val="ro-MD"/>
              </w:rPr>
              <w:t>pct.1</w:t>
            </w:r>
            <w:r w:rsidR="00812DFE" w:rsidRPr="00D96752">
              <w:rPr>
                <w:rFonts w:ascii="Times New Roman" w:hAnsi="Times New Roman" w:cs="Times New Roman"/>
                <w:bCs/>
                <w:color w:val="000000" w:themeColor="text1"/>
                <w:lang w:val="ro-MD"/>
              </w:rPr>
              <w:t>6</w:t>
            </w:r>
            <w:r w:rsidR="00C326AB" w:rsidRPr="00D96752">
              <w:rPr>
                <w:rFonts w:ascii="Times New Roman" w:hAnsi="Times New Roman" w:cs="Times New Roman"/>
                <w:bCs/>
                <w:color w:val="000000" w:themeColor="text1"/>
                <w:lang w:val="ro-MD"/>
              </w:rPr>
              <w:t xml:space="preserve"> ar constitui pentru aceasta o povară nejustificată.</w:t>
            </w:r>
            <w:bookmarkEnd w:id="30"/>
          </w:p>
        </w:tc>
        <w:tc>
          <w:tcPr>
            <w:tcW w:w="580" w:type="pct"/>
          </w:tcPr>
          <w:p w14:paraId="6542FF5E" w14:textId="0A1202C7" w:rsidR="00C326AB" w:rsidRPr="00D96752" w:rsidRDefault="00BB7974"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564B9921" w14:textId="0D7121DB" w:rsidR="00C326AB" w:rsidRPr="00D96752" w:rsidRDefault="00BC6245"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Valoarea limitei indicatorului de activitate a fost ajustată </w:t>
            </w:r>
            <w:r w:rsidR="00B040F5" w:rsidRPr="00D96752">
              <w:rPr>
                <w:rFonts w:ascii="Times New Roman" w:hAnsi="Times New Roman" w:cs="Times New Roman"/>
                <w:bCs/>
                <w:color w:val="000000" w:themeColor="text1"/>
                <w:lang w:val="ro-MD"/>
              </w:rPr>
              <w:t xml:space="preserve">ținând cont de conjunctura bancară </w:t>
            </w:r>
            <w:r w:rsidRPr="00D96752">
              <w:rPr>
                <w:rFonts w:ascii="Times New Roman" w:hAnsi="Times New Roman" w:cs="Times New Roman"/>
                <w:bCs/>
                <w:color w:val="000000" w:themeColor="text1"/>
                <w:lang w:val="ro-MD"/>
              </w:rPr>
              <w:t>din Republica Moldova.</w:t>
            </w:r>
          </w:p>
        </w:tc>
      </w:tr>
      <w:tr w:rsidR="00C326AB" w:rsidRPr="00D96752" w14:paraId="076D0F1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505D7867" w14:textId="21FC011A" w:rsidR="00C326AB" w:rsidRPr="00D96752" w:rsidRDefault="00C326AB" w:rsidP="00C326AB">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(2) În sensul alineatului (1), indicatorul de activitate relevant este valoarea cea mai mare dintre valorile indicatorului de activitate raportate de instituție la ultimele opt date de referință a raportării. O instituție </w:t>
            </w:r>
            <w:r w:rsidRPr="00D96752">
              <w:rPr>
                <w:rFonts w:ascii="Times New Roman" w:hAnsi="Times New Roman" w:cs="Times New Roman"/>
                <w:bCs/>
                <w:color w:val="000000" w:themeColor="text1"/>
                <w:lang w:val="ro-MD"/>
              </w:rPr>
              <w:lastRenderedPageBreak/>
              <w:t>care nu și-a raportat încă indicatorul de activitate utilizează cel mai recent indicator de activitate.</w:t>
            </w:r>
          </w:p>
        </w:tc>
        <w:tc>
          <w:tcPr>
            <w:tcW w:w="1588" w:type="pct"/>
            <w:shd w:val="clear" w:color="auto" w:fill="auto"/>
          </w:tcPr>
          <w:p w14:paraId="2CE0F1F8" w14:textId="70CD7519" w:rsidR="00C326AB" w:rsidRPr="00D96752" w:rsidRDefault="00BB7974" w:rsidP="00C326AB">
            <w:pPr>
              <w:spacing w:after="0" w:line="276" w:lineRule="auto"/>
              <w:jc w:val="both"/>
              <w:rPr>
                <w:rFonts w:ascii="Times New Roman" w:hAnsi="Times New Roman" w:cs="Times New Roman"/>
                <w:bCs/>
                <w:color w:val="000000" w:themeColor="text1"/>
                <w:lang w:val="ro-MD"/>
              </w:rPr>
            </w:pPr>
            <w:bookmarkStart w:id="31" w:name="_Hlk193369862"/>
            <w:r w:rsidRPr="00D96752">
              <w:rPr>
                <w:rFonts w:ascii="Times New Roman" w:hAnsi="Times New Roman" w:cs="Times New Roman"/>
                <w:bCs/>
                <w:color w:val="000000" w:themeColor="text1"/>
                <w:lang w:val="ro-MD"/>
              </w:rPr>
              <w:lastRenderedPageBreak/>
              <w:t>1</w:t>
            </w:r>
            <w:r w:rsidR="00F2779A" w:rsidRPr="00D96752">
              <w:rPr>
                <w:rFonts w:ascii="Times New Roman" w:hAnsi="Times New Roman" w:cs="Times New Roman"/>
                <w:bCs/>
                <w:color w:val="000000" w:themeColor="text1"/>
                <w:lang w:val="ro-MD"/>
              </w:rPr>
              <w:t>8</w:t>
            </w:r>
            <w:r w:rsidRPr="00D96752">
              <w:rPr>
                <w:rFonts w:ascii="Times New Roman" w:hAnsi="Times New Roman" w:cs="Times New Roman"/>
                <w:bCs/>
                <w:color w:val="000000" w:themeColor="text1"/>
                <w:lang w:val="ro-MD"/>
              </w:rPr>
              <w:t>.</w:t>
            </w:r>
            <w:r w:rsidR="00C326AB" w:rsidRPr="00D96752">
              <w:rPr>
                <w:rFonts w:ascii="Times New Roman" w:hAnsi="Times New Roman" w:cs="Times New Roman"/>
                <w:bCs/>
                <w:color w:val="000000" w:themeColor="text1"/>
                <w:lang w:val="ro-MD"/>
              </w:rPr>
              <w:t> În sensul</w:t>
            </w:r>
            <w:r w:rsidR="006D62F0"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pct.1</w:t>
            </w:r>
            <w:r w:rsidR="00812DFE" w:rsidRPr="00D96752">
              <w:rPr>
                <w:rFonts w:ascii="Times New Roman" w:hAnsi="Times New Roman" w:cs="Times New Roman"/>
                <w:bCs/>
                <w:color w:val="000000" w:themeColor="text1"/>
                <w:lang w:val="ro-MD"/>
              </w:rPr>
              <w:t>6</w:t>
            </w:r>
            <w:r w:rsidR="00C326AB" w:rsidRPr="00D96752">
              <w:rPr>
                <w:rFonts w:ascii="Times New Roman" w:hAnsi="Times New Roman" w:cs="Times New Roman"/>
                <w:bCs/>
                <w:color w:val="000000" w:themeColor="text1"/>
                <w:lang w:val="ro-MD"/>
              </w:rPr>
              <w:t xml:space="preserve">, indicatorul de activitate relevant este valoarea cea mai mare dintre valorile indicatorului de activitate raportate de </w:t>
            </w:r>
            <w:r w:rsidRPr="00D96752">
              <w:rPr>
                <w:rFonts w:ascii="Times New Roman" w:hAnsi="Times New Roman" w:cs="Times New Roman"/>
                <w:bCs/>
                <w:color w:val="000000" w:themeColor="text1"/>
                <w:lang w:val="ro-MD"/>
              </w:rPr>
              <w:t xml:space="preserve">bancă </w:t>
            </w:r>
            <w:r w:rsidR="00C326AB" w:rsidRPr="00D96752">
              <w:rPr>
                <w:rFonts w:ascii="Times New Roman" w:hAnsi="Times New Roman" w:cs="Times New Roman"/>
                <w:bCs/>
                <w:color w:val="000000" w:themeColor="text1"/>
                <w:lang w:val="ro-MD"/>
              </w:rPr>
              <w:t>la ultimele opt date de referință a raportării. O </w:t>
            </w:r>
            <w:r w:rsidRPr="00D96752">
              <w:rPr>
                <w:rFonts w:ascii="Times New Roman" w:hAnsi="Times New Roman" w:cs="Times New Roman"/>
                <w:bCs/>
                <w:color w:val="000000" w:themeColor="text1"/>
                <w:lang w:val="ro-MD"/>
              </w:rPr>
              <w:t xml:space="preserve">bancă </w:t>
            </w:r>
            <w:r w:rsidR="00C326AB" w:rsidRPr="00D96752">
              <w:rPr>
                <w:rFonts w:ascii="Times New Roman" w:hAnsi="Times New Roman" w:cs="Times New Roman"/>
                <w:bCs/>
                <w:color w:val="000000" w:themeColor="text1"/>
                <w:lang w:val="ro-MD"/>
              </w:rPr>
              <w:t xml:space="preserve">care nu și-a raportat încă </w:t>
            </w:r>
            <w:r w:rsidR="00C326AB" w:rsidRPr="00D96752">
              <w:rPr>
                <w:rFonts w:ascii="Times New Roman" w:hAnsi="Times New Roman" w:cs="Times New Roman"/>
                <w:bCs/>
                <w:color w:val="000000" w:themeColor="text1"/>
                <w:lang w:val="ro-MD"/>
              </w:rPr>
              <w:lastRenderedPageBreak/>
              <w:t>indicatorul de activitate utilizează cel mai recent indicator de activitate.</w:t>
            </w:r>
            <w:bookmarkEnd w:id="31"/>
          </w:p>
        </w:tc>
        <w:tc>
          <w:tcPr>
            <w:tcW w:w="580" w:type="pct"/>
          </w:tcPr>
          <w:p w14:paraId="4CAF75CF" w14:textId="3C6A2189" w:rsidR="00C326AB" w:rsidRPr="00D96752" w:rsidRDefault="00BB7974" w:rsidP="00C326AB">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02476151" w14:textId="77777777" w:rsidR="00C326AB" w:rsidRPr="00D96752" w:rsidRDefault="00C326AB" w:rsidP="00C326AB">
            <w:pPr>
              <w:spacing w:line="276" w:lineRule="auto"/>
              <w:jc w:val="both"/>
              <w:rPr>
                <w:rFonts w:ascii="Times New Roman" w:hAnsi="Times New Roman" w:cs="Times New Roman"/>
                <w:bCs/>
                <w:color w:val="000000" w:themeColor="text1"/>
                <w:lang w:val="ro-MD"/>
              </w:rPr>
            </w:pPr>
          </w:p>
        </w:tc>
      </w:tr>
      <w:tr w:rsidR="00BB7974" w:rsidRPr="00D96752" w14:paraId="001162EA"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52C2423" w14:textId="0D460340"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   ABE elaborează proiecte de standarde tehnice de reglementare pentru a preciza condiția poverii nejustificate în sensul alineatului (1).</w:t>
            </w:r>
          </w:p>
          <w:p w14:paraId="797314A6" w14:textId="77777777"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2026.</w:t>
            </w:r>
          </w:p>
          <w:p w14:paraId="128CE75C" w14:textId="51F76D57"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1588" w:type="pct"/>
            <w:shd w:val="clear" w:color="auto" w:fill="auto"/>
          </w:tcPr>
          <w:p w14:paraId="42946DBE" w14:textId="03478EFF" w:rsidR="00BB7974" w:rsidRPr="00D96752" w:rsidRDefault="00BB7974" w:rsidP="00BB7974">
            <w:pPr>
              <w:spacing w:after="0" w:line="276" w:lineRule="auto"/>
              <w:jc w:val="both"/>
              <w:rPr>
                <w:rFonts w:ascii="Times New Roman" w:hAnsi="Times New Roman" w:cs="Times New Roman"/>
                <w:bCs/>
                <w:color w:val="000000" w:themeColor="text1"/>
                <w:lang w:val="ro-MD"/>
              </w:rPr>
            </w:pPr>
          </w:p>
        </w:tc>
        <w:tc>
          <w:tcPr>
            <w:tcW w:w="580" w:type="pct"/>
          </w:tcPr>
          <w:p w14:paraId="5342EA23" w14:textId="5778C9B6" w:rsidR="00BB7974" w:rsidRPr="00D96752" w:rsidRDefault="00BB7974"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491D31EE" w14:textId="4FDF1EF6" w:rsidR="00BB7974" w:rsidRPr="00D96752" w:rsidRDefault="00BB7974"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BB7974" w:rsidRPr="00D96752" w14:paraId="0C08227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219EB8C" w14:textId="77777777" w:rsidR="00BB7974" w:rsidRPr="00D96752" w:rsidRDefault="00BB7974" w:rsidP="00BB7974">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317</w:t>
            </w:r>
          </w:p>
          <w:p w14:paraId="176E398C" w14:textId="77777777" w:rsidR="00BB7974" w:rsidRPr="00D96752" w:rsidRDefault="00BB7974" w:rsidP="00BB7974">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Setul de date privind pierderile</w:t>
            </w:r>
          </w:p>
          <w:p w14:paraId="14C3CAA6" w14:textId="4542EEC4"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Instituțiile care calculează o pierdere anuală din riscul operațional în conformitate cu articolul 316 alineatul (1) dispun de un cadru de administrare, procese și mecanisme care să permită colectarea și actualizarea în permanență a unui set de date privind pierderile care să cuprindă, pentru fiecare eveniment de risc operațional înregistrat, cuantumurile pierderii brute, recuperările din alte activități decât cele de asigurare, recuperările din asigurări, datele de referință și pierderile grupate, inclusiv cele rezultate în urma unor evenimente legate de o conduită necorespunzătoare.</w:t>
            </w:r>
          </w:p>
        </w:tc>
        <w:tc>
          <w:tcPr>
            <w:tcW w:w="1588" w:type="pct"/>
            <w:shd w:val="clear" w:color="auto" w:fill="auto"/>
          </w:tcPr>
          <w:p w14:paraId="06DDF31E" w14:textId="652E0040" w:rsidR="00BB7974" w:rsidRPr="00D96752" w:rsidRDefault="00BB7974" w:rsidP="00BB7974">
            <w:pPr>
              <w:spacing w:after="0" w:line="276" w:lineRule="auto"/>
              <w:jc w:val="both"/>
              <w:rPr>
                <w:rFonts w:ascii="Times New Roman" w:hAnsi="Times New Roman" w:cs="Times New Roman"/>
                <w:b/>
                <w:bCs/>
                <w:color w:val="000000" w:themeColor="text1"/>
                <w:lang w:val="ro-MD"/>
              </w:rPr>
            </w:pPr>
            <w:bookmarkStart w:id="32" w:name="_Hlk193369895"/>
            <w:r w:rsidRPr="00D96752">
              <w:rPr>
                <w:rFonts w:ascii="Times New Roman" w:hAnsi="Times New Roman" w:cs="Times New Roman"/>
                <w:b/>
                <w:bCs/>
                <w:sz w:val="24"/>
                <w:szCs w:val="24"/>
                <w:lang w:val="it-IT"/>
              </w:rPr>
              <w:t xml:space="preserve">Secțiunea 2. </w:t>
            </w:r>
            <w:r w:rsidRPr="00D96752">
              <w:rPr>
                <w:rFonts w:ascii="Times New Roman" w:hAnsi="Times New Roman" w:cs="Times New Roman"/>
                <w:b/>
                <w:bCs/>
                <w:color w:val="000000" w:themeColor="text1"/>
                <w:lang w:val="ro-MD"/>
              </w:rPr>
              <w:t>Setul de date privind pierderile</w:t>
            </w:r>
          </w:p>
          <w:p w14:paraId="3642054B" w14:textId="318F5539"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 xml:space="preserve">.   Băncile care calculează o pierdere anuală din riscul operațional în conformitate cu </w:t>
            </w:r>
            <w:r w:rsidR="00F42D42" w:rsidRPr="00D96752">
              <w:rPr>
                <w:rFonts w:ascii="Times New Roman" w:hAnsi="Times New Roman" w:cs="Times New Roman"/>
                <w:bCs/>
                <w:color w:val="000000" w:themeColor="text1"/>
                <w:lang w:val="ro-MD"/>
              </w:rPr>
              <w:t>pct.1</w:t>
            </w:r>
            <w:r w:rsidR="00812DFE" w:rsidRPr="00D96752">
              <w:rPr>
                <w:rFonts w:ascii="Times New Roman" w:hAnsi="Times New Roman" w:cs="Times New Roman"/>
                <w:bCs/>
                <w:color w:val="000000" w:themeColor="text1"/>
                <w:lang w:val="ro-MD"/>
              </w:rPr>
              <w:t>6</w:t>
            </w:r>
            <w:r w:rsidRPr="00D96752">
              <w:rPr>
                <w:rFonts w:ascii="Times New Roman" w:hAnsi="Times New Roman" w:cs="Times New Roman"/>
                <w:bCs/>
                <w:color w:val="000000" w:themeColor="text1"/>
                <w:lang w:val="ro-MD"/>
              </w:rPr>
              <w:t xml:space="preserve"> dispun de un cadru de administrare, procese și mecanisme care să permită colectarea și actualizarea în permanență a unui set de date privind pierderile care să cuprindă, pentru fiecare eveniment de risc operațional înregistrat, cuantumurile pierderii brute, recuperările din alte activități decât cele de asigurare, recuperările din asigurări, datele de referință și pierderile grupate, inclusiv cele rezultate în urma unor evenimente legate de o conduită necorespunzătoare.</w:t>
            </w:r>
            <w:bookmarkEnd w:id="32"/>
          </w:p>
        </w:tc>
        <w:tc>
          <w:tcPr>
            <w:tcW w:w="580" w:type="pct"/>
          </w:tcPr>
          <w:p w14:paraId="1DD1D08F" w14:textId="2A9C8671" w:rsidR="00BB7974" w:rsidRPr="00D96752" w:rsidRDefault="00F42D42"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53ACE46"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4B51DB15"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F1A07B3" w14:textId="660539FE"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(2)  Setul de date privind pierderile al instituției cuprinde toate evenimentele de risc operațional care decurg de la toate entitățile incluse în perimetrul de consolidare în temeiul părții întâi titlul II capitolul 2.</w:t>
            </w:r>
          </w:p>
        </w:tc>
        <w:tc>
          <w:tcPr>
            <w:tcW w:w="1588" w:type="pct"/>
            <w:shd w:val="clear" w:color="auto" w:fill="auto"/>
          </w:tcPr>
          <w:p w14:paraId="74A605A9" w14:textId="3305E224" w:rsidR="00BB7974" w:rsidRPr="00D96752" w:rsidRDefault="00F2779A" w:rsidP="00F42D42">
            <w:pPr>
              <w:spacing w:after="0" w:line="276" w:lineRule="auto"/>
              <w:jc w:val="both"/>
              <w:rPr>
                <w:rFonts w:ascii="Times New Roman" w:hAnsi="Times New Roman" w:cs="Times New Roman"/>
                <w:bCs/>
                <w:color w:val="000000" w:themeColor="text1"/>
                <w:lang w:val="ro-MD"/>
              </w:rPr>
            </w:pPr>
            <w:bookmarkStart w:id="33" w:name="_Hlk193369926"/>
            <w:r w:rsidRPr="00D96752">
              <w:rPr>
                <w:rFonts w:ascii="Times New Roman" w:hAnsi="Times New Roman" w:cs="Times New Roman"/>
                <w:bCs/>
                <w:color w:val="000000" w:themeColor="text1"/>
                <w:lang w:val="ro-MD"/>
              </w:rPr>
              <w:t>20</w:t>
            </w:r>
            <w:r w:rsidR="00F42D42"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xml:space="preserve">  Setul de date privind pierderile al </w:t>
            </w:r>
            <w:r w:rsidR="00F42D42" w:rsidRPr="00D96752">
              <w:rPr>
                <w:rFonts w:ascii="Times New Roman" w:hAnsi="Times New Roman" w:cs="Times New Roman"/>
                <w:bCs/>
                <w:color w:val="000000" w:themeColor="text1"/>
                <w:lang w:val="ro-MD"/>
              </w:rPr>
              <w:t xml:space="preserve">băncii </w:t>
            </w:r>
            <w:r w:rsidR="00BB7974" w:rsidRPr="00D96752">
              <w:rPr>
                <w:rFonts w:ascii="Times New Roman" w:hAnsi="Times New Roman" w:cs="Times New Roman"/>
                <w:bCs/>
                <w:color w:val="000000" w:themeColor="text1"/>
                <w:lang w:val="ro-MD"/>
              </w:rPr>
              <w:t xml:space="preserve">cuprinde toate evenimentele de risc operațional care decurg de la toate entitățile incluse în perimetrul de consolidare în temeiul </w:t>
            </w:r>
            <w:r w:rsidR="00F42D42" w:rsidRPr="00D96752">
              <w:rPr>
                <w:rFonts w:ascii="Times New Roman" w:hAnsi="Times New Roman" w:cs="Times New Roman"/>
                <w:bCs/>
                <w:color w:val="000000" w:themeColor="text1"/>
                <w:lang w:val="ro-MD"/>
              </w:rPr>
              <w:t>Regulamentului cu privire la supravegherea pe bază consolidată a băncilor, aprobat prin HCE al BNM nr.101/2020</w:t>
            </w:r>
            <w:r w:rsidR="00BB7974" w:rsidRPr="00D96752">
              <w:rPr>
                <w:rFonts w:ascii="Times New Roman" w:hAnsi="Times New Roman" w:cs="Times New Roman"/>
                <w:bCs/>
                <w:color w:val="000000" w:themeColor="text1"/>
                <w:lang w:val="ro-MD"/>
              </w:rPr>
              <w:t>.</w:t>
            </w:r>
            <w:bookmarkEnd w:id="33"/>
          </w:p>
        </w:tc>
        <w:tc>
          <w:tcPr>
            <w:tcW w:w="580" w:type="pct"/>
          </w:tcPr>
          <w:p w14:paraId="203427F9" w14:textId="0B06693E" w:rsidR="00BB7974" w:rsidRPr="00D96752" w:rsidRDefault="00F42D42"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0BEE2D70"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5FC9E1E4"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2B317875" w14:textId="53FE9A01"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   În scopul alineatului (1), instituțiile:</w:t>
            </w:r>
          </w:p>
          <w:p w14:paraId="6A6D49B2" w14:textId="69670C5A"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includ în setul de date privind pierderile fiecare eveniment de risc operațional înregistrat în cursul unuia sau mai multor exerciții financiare;</w:t>
            </w:r>
          </w:p>
          <w:p w14:paraId="1131EA91" w14:textId="3151B96E"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utilizează data contabilizării pentru a include pierderile legate de evenimentele de risc operațional în setul de date privind pierderile;</w:t>
            </w:r>
          </w:p>
          <w:p w14:paraId="341820E6" w14:textId="624DED61"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alocă pierderile și recuperările aferente unui eveniment de risc operațional comun sau unor evenimente de risc operațional conexe survenite de-a lungul timpului și înregistrate în conturi pe parcursul mai multor exerciții financiare exercițiilor financiare corespunzătoare setului de date privind pierderile, în conformitate cu tratamentul contabil al acestora.</w:t>
            </w:r>
          </w:p>
        </w:tc>
        <w:tc>
          <w:tcPr>
            <w:tcW w:w="1588" w:type="pct"/>
            <w:shd w:val="clear" w:color="auto" w:fill="auto"/>
          </w:tcPr>
          <w:p w14:paraId="2ACDFDE5" w14:textId="22D1B724" w:rsidR="00BB7974" w:rsidRPr="00D96752" w:rsidRDefault="00F42D42" w:rsidP="00BB7974">
            <w:pPr>
              <w:spacing w:after="0" w:line="276" w:lineRule="auto"/>
              <w:jc w:val="both"/>
              <w:rPr>
                <w:rFonts w:ascii="Times New Roman" w:hAnsi="Times New Roman" w:cs="Times New Roman"/>
                <w:bCs/>
                <w:color w:val="000000" w:themeColor="text1"/>
                <w:lang w:val="ro-MD"/>
              </w:rPr>
            </w:pPr>
            <w:bookmarkStart w:id="34" w:name="_Hlk193369974"/>
            <w:bookmarkStart w:id="35" w:name="_Hlk193370100"/>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1</w:t>
            </w:r>
            <w:r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În scopul</w:t>
            </w:r>
            <w:r w:rsidR="00FA33DF"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pct.1</w:t>
            </w:r>
            <w:r w:rsidR="00FA33DF" w:rsidRPr="00D96752">
              <w:rPr>
                <w:rFonts w:ascii="Times New Roman" w:hAnsi="Times New Roman" w:cs="Times New Roman"/>
                <w:bCs/>
                <w:color w:val="000000" w:themeColor="text1"/>
                <w:lang w:val="ro-MD"/>
              </w:rPr>
              <w:t>9</w:t>
            </w:r>
            <w:r w:rsidR="00BB7974"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băncile</w:t>
            </w:r>
            <w:r w:rsidR="00BB7974" w:rsidRPr="00D96752">
              <w:rPr>
                <w:rFonts w:ascii="Times New Roman" w:hAnsi="Times New Roman" w:cs="Times New Roman"/>
                <w:bCs/>
                <w:color w:val="000000" w:themeColor="text1"/>
                <w:lang w:val="ro-MD"/>
              </w:rPr>
              <w:t>:</w:t>
            </w:r>
          </w:p>
          <w:p w14:paraId="3B91F469" w14:textId="626B99EC" w:rsidR="00BB7974" w:rsidRPr="00D96752" w:rsidRDefault="00F42D42"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A33DF" w:rsidRPr="00D96752">
              <w:rPr>
                <w:rFonts w:ascii="Times New Roman" w:hAnsi="Times New Roman" w:cs="Times New Roman"/>
                <w:bCs/>
                <w:color w:val="000000" w:themeColor="text1"/>
                <w:lang w:val="ro-MD"/>
              </w:rPr>
              <w:t>1</w:t>
            </w:r>
            <w:r w:rsidRPr="00D96752">
              <w:rPr>
                <w:rFonts w:ascii="Times New Roman" w:hAnsi="Times New Roman" w:cs="Times New Roman"/>
                <w:bCs/>
                <w:color w:val="000000" w:themeColor="text1"/>
                <w:lang w:val="ro-MD"/>
              </w:rPr>
              <w:t>.1.</w:t>
            </w:r>
            <w:r w:rsidR="00BB7974" w:rsidRPr="00D96752">
              <w:rPr>
                <w:rFonts w:ascii="Times New Roman" w:hAnsi="Times New Roman" w:cs="Times New Roman"/>
                <w:bCs/>
                <w:color w:val="000000" w:themeColor="text1"/>
                <w:lang w:val="ro-MD"/>
              </w:rPr>
              <w:t> includ în setul de date privind pierderile fiecare eveniment de risc operațional înregistrat în cursul unuia sau mai multor exerciții financiare;</w:t>
            </w:r>
          </w:p>
          <w:p w14:paraId="695A3F27" w14:textId="54FCD544" w:rsidR="00BB7974" w:rsidRPr="00D96752" w:rsidRDefault="00F42D42"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A33DF" w:rsidRPr="00D96752">
              <w:rPr>
                <w:rFonts w:ascii="Times New Roman" w:hAnsi="Times New Roman" w:cs="Times New Roman"/>
                <w:bCs/>
                <w:color w:val="000000" w:themeColor="text1"/>
                <w:lang w:val="ro-MD"/>
              </w:rPr>
              <w:t>1</w:t>
            </w:r>
            <w:r w:rsidRPr="00D96752">
              <w:rPr>
                <w:rFonts w:ascii="Times New Roman" w:hAnsi="Times New Roman" w:cs="Times New Roman"/>
                <w:bCs/>
                <w:color w:val="000000" w:themeColor="text1"/>
                <w:lang w:val="ro-MD"/>
              </w:rPr>
              <w:t>.2.</w:t>
            </w:r>
            <w:r w:rsidR="00BB7974" w:rsidRPr="00D96752">
              <w:rPr>
                <w:rFonts w:ascii="Times New Roman" w:hAnsi="Times New Roman" w:cs="Times New Roman"/>
                <w:bCs/>
                <w:color w:val="000000" w:themeColor="text1"/>
                <w:lang w:val="ro-MD"/>
              </w:rPr>
              <w:t> utilizează data contabilizării pentru a include pierderile legate de evenimentele de risc operațional în setul de date privind pierderile;</w:t>
            </w:r>
          </w:p>
          <w:p w14:paraId="1CB2FA03" w14:textId="028E6614" w:rsidR="00BB7974" w:rsidRPr="00D96752" w:rsidRDefault="00F42D42"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A33DF" w:rsidRPr="00D96752">
              <w:rPr>
                <w:rFonts w:ascii="Times New Roman" w:hAnsi="Times New Roman" w:cs="Times New Roman"/>
                <w:bCs/>
                <w:color w:val="000000" w:themeColor="text1"/>
                <w:lang w:val="ro-MD"/>
              </w:rPr>
              <w:t>1</w:t>
            </w:r>
            <w:r w:rsidRPr="00D96752">
              <w:rPr>
                <w:rFonts w:ascii="Times New Roman" w:hAnsi="Times New Roman" w:cs="Times New Roman"/>
                <w:bCs/>
                <w:color w:val="000000" w:themeColor="text1"/>
                <w:lang w:val="ro-MD"/>
              </w:rPr>
              <w:t>.3.</w:t>
            </w:r>
            <w:r w:rsidR="00BB7974" w:rsidRPr="00D96752">
              <w:rPr>
                <w:rFonts w:ascii="Times New Roman" w:hAnsi="Times New Roman" w:cs="Times New Roman"/>
                <w:bCs/>
                <w:color w:val="000000" w:themeColor="text1"/>
                <w:lang w:val="ro-MD"/>
              </w:rPr>
              <w:t> alocă pierderile și recuperările aferente unui eveniment de risc operațional comun sau unor evenimente de risc operațional conexe survenite de-a lungul timpului și înregistrate în conturi pe parcursul mai multor exerciții financiare exercițiilor financiare corespunzătoare setului de date privind pierderile</w:t>
            </w:r>
            <w:bookmarkEnd w:id="34"/>
            <w:r w:rsidR="00BB7974" w:rsidRPr="00D96752">
              <w:rPr>
                <w:rFonts w:ascii="Times New Roman" w:hAnsi="Times New Roman" w:cs="Times New Roman"/>
                <w:bCs/>
                <w:color w:val="000000" w:themeColor="text1"/>
                <w:lang w:val="ro-MD"/>
              </w:rPr>
              <w:t>, în conformitate cu tratamentul contabil al acestora</w:t>
            </w:r>
            <w:bookmarkEnd w:id="35"/>
            <w:r w:rsidR="00BB7974" w:rsidRPr="00D96752">
              <w:rPr>
                <w:rFonts w:ascii="Times New Roman" w:hAnsi="Times New Roman" w:cs="Times New Roman"/>
                <w:bCs/>
                <w:color w:val="000000" w:themeColor="text1"/>
                <w:lang w:val="ro-MD"/>
              </w:rPr>
              <w:t>.</w:t>
            </w:r>
          </w:p>
        </w:tc>
        <w:tc>
          <w:tcPr>
            <w:tcW w:w="580" w:type="pct"/>
          </w:tcPr>
          <w:p w14:paraId="192E127E" w14:textId="583E4DEB" w:rsidR="00BB7974" w:rsidRPr="00D96752" w:rsidRDefault="00F42D42"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788379B"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10B1C063"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B06A5E8" w14:textId="7E06DB30"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   De asemenea, instituțiile colectează:</w:t>
            </w:r>
          </w:p>
          <w:p w14:paraId="1ABA48E7" w14:textId="6813CD60"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informații privind datele de referință ale evenimentelor de risc operațional, inclusiv:</w:t>
            </w:r>
          </w:p>
          <w:p w14:paraId="4099BCE0" w14:textId="5ABACF57"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 data la care evenimentul de risc operațional a avut loc sau a început pentru prima dată („data apariției”), dacă este disponibilă;</w:t>
            </w:r>
          </w:p>
          <w:p w14:paraId="5B8E0810" w14:textId="4BB112EC"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(ii) data la care instituția a luat cunoștință de evenimentul de risc operațional („data descoperirii”);</w:t>
            </w:r>
          </w:p>
          <w:p w14:paraId="6E4A0BBA" w14:textId="632FCB2A"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(iii) data sau datele la care un eveniment de risc operațional generează o pierdere sau rezerva ori provizionul pentru o pierdere, recunoscute în conturile de profit și pierdere ale instituției („data contabilizării”);</w:t>
            </w:r>
          </w:p>
          <w:p w14:paraId="00343121" w14:textId="3B91E585"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informații privind orice recuperare a cuantumurilor pierderilor brute, precum și informații descriptive privind factorii determinanți sau cauzele evenimentelor de pierdere.</w:t>
            </w:r>
          </w:p>
          <w:p w14:paraId="24F3699B" w14:textId="671F024B"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Nivelul de detaliu al oricărei informații descriptive este proporțional cu cuantumul pierderii brute.</w:t>
            </w:r>
          </w:p>
        </w:tc>
        <w:tc>
          <w:tcPr>
            <w:tcW w:w="1588" w:type="pct"/>
            <w:shd w:val="clear" w:color="auto" w:fill="auto"/>
          </w:tcPr>
          <w:p w14:paraId="1279AA31" w14:textId="7EAD69FE" w:rsidR="00BB7974" w:rsidRPr="00D96752" w:rsidRDefault="00F42D42" w:rsidP="00BB7974">
            <w:pPr>
              <w:spacing w:after="0" w:line="276" w:lineRule="auto"/>
              <w:jc w:val="both"/>
              <w:rPr>
                <w:rFonts w:ascii="Times New Roman" w:hAnsi="Times New Roman" w:cs="Times New Roman"/>
                <w:bCs/>
                <w:color w:val="000000" w:themeColor="text1"/>
                <w:lang w:val="ro-MD"/>
              </w:rPr>
            </w:pPr>
            <w:bookmarkStart w:id="36" w:name="_Hlk193370302"/>
            <w:r w:rsidRPr="00D96752">
              <w:rPr>
                <w:rFonts w:ascii="Times New Roman" w:hAnsi="Times New Roman" w:cs="Times New Roman"/>
                <w:bCs/>
                <w:color w:val="000000" w:themeColor="text1"/>
                <w:lang w:val="ro-MD"/>
              </w:rPr>
              <w:lastRenderedPageBreak/>
              <w:t>2</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xml:space="preserve">   De asemenea, </w:t>
            </w:r>
            <w:r w:rsidRPr="00D96752">
              <w:rPr>
                <w:rFonts w:ascii="Times New Roman" w:hAnsi="Times New Roman" w:cs="Times New Roman"/>
                <w:bCs/>
                <w:color w:val="000000" w:themeColor="text1"/>
                <w:lang w:val="ro-MD"/>
              </w:rPr>
              <w:t xml:space="preserve">băncile </w:t>
            </w:r>
            <w:r w:rsidR="00BB7974" w:rsidRPr="00D96752">
              <w:rPr>
                <w:rFonts w:ascii="Times New Roman" w:hAnsi="Times New Roman" w:cs="Times New Roman"/>
                <w:bCs/>
                <w:color w:val="000000" w:themeColor="text1"/>
                <w:lang w:val="ro-MD"/>
              </w:rPr>
              <w:t>colectează:</w:t>
            </w:r>
          </w:p>
          <w:p w14:paraId="6082DB83" w14:textId="5DC82584" w:rsidR="00BB7974" w:rsidRPr="00D96752" w:rsidRDefault="00F42D42"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.1.</w:t>
            </w:r>
            <w:r w:rsidR="00BB7974" w:rsidRPr="00D96752">
              <w:rPr>
                <w:rFonts w:ascii="Times New Roman" w:hAnsi="Times New Roman" w:cs="Times New Roman"/>
                <w:bCs/>
                <w:color w:val="000000" w:themeColor="text1"/>
                <w:lang w:val="ro-MD"/>
              </w:rPr>
              <w:t> informații privind datele de referință ale evenimentelor de risc operațional, inclusiv:</w:t>
            </w:r>
          </w:p>
          <w:p w14:paraId="172C15E5" w14:textId="625416B0" w:rsidR="00BB7974" w:rsidRPr="00D96752" w:rsidRDefault="00CD6E50"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.1.1.</w:t>
            </w:r>
            <w:r w:rsidR="00BB7974" w:rsidRPr="00D96752">
              <w:rPr>
                <w:rFonts w:ascii="Times New Roman" w:hAnsi="Times New Roman" w:cs="Times New Roman"/>
                <w:bCs/>
                <w:color w:val="000000" w:themeColor="text1"/>
                <w:lang w:val="ro-MD"/>
              </w:rPr>
              <w:t> data la care evenimentul de risc operațional a avut loc sau a început pentru prima dată („data apariției”), dacă este disponibilă;</w:t>
            </w:r>
          </w:p>
          <w:p w14:paraId="1150BBD9" w14:textId="7E79AF92" w:rsidR="00BB7974" w:rsidRPr="00D96752" w:rsidRDefault="00CD6E50"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2</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.1.2.</w:t>
            </w:r>
            <w:r w:rsidR="00BB7974" w:rsidRPr="00D96752">
              <w:rPr>
                <w:rFonts w:ascii="Times New Roman" w:hAnsi="Times New Roman" w:cs="Times New Roman"/>
                <w:bCs/>
                <w:color w:val="000000" w:themeColor="text1"/>
                <w:lang w:val="ro-MD"/>
              </w:rPr>
              <w:t xml:space="preserve"> data la care </w:t>
            </w:r>
            <w:r w:rsidRPr="00D96752">
              <w:rPr>
                <w:rFonts w:ascii="Times New Roman" w:hAnsi="Times New Roman" w:cs="Times New Roman"/>
                <w:bCs/>
                <w:color w:val="000000" w:themeColor="text1"/>
                <w:lang w:val="ro-MD"/>
              </w:rPr>
              <w:t xml:space="preserve">banca </w:t>
            </w:r>
            <w:r w:rsidR="00BB7974" w:rsidRPr="00D96752">
              <w:rPr>
                <w:rFonts w:ascii="Times New Roman" w:hAnsi="Times New Roman" w:cs="Times New Roman"/>
                <w:bCs/>
                <w:color w:val="000000" w:themeColor="text1"/>
                <w:lang w:val="ro-MD"/>
              </w:rPr>
              <w:t>a luat cunoștință de evenimentul de risc operațional („data descoperirii”);</w:t>
            </w:r>
          </w:p>
          <w:p w14:paraId="61433C83" w14:textId="5A13129D" w:rsidR="00BB7974" w:rsidRPr="00D96752" w:rsidRDefault="00CD6E50"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.1.3.</w:t>
            </w:r>
            <w:r w:rsidR="00BB7974" w:rsidRPr="00D96752">
              <w:rPr>
                <w:rFonts w:ascii="Times New Roman" w:hAnsi="Times New Roman" w:cs="Times New Roman"/>
                <w:bCs/>
                <w:color w:val="000000" w:themeColor="text1"/>
                <w:lang w:val="ro-MD"/>
              </w:rPr>
              <w:t xml:space="preserve"> data sau datele la care un eveniment de risc operațional generează o pierdere sau rezerva ori provizionul pentru o pierdere, recunoscute în conturile de profit și pierdere ale </w:t>
            </w:r>
            <w:r w:rsidRPr="00D96752">
              <w:rPr>
                <w:rFonts w:ascii="Times New Roman" w:hAnsi="Times New Roman" w:cs="Times New Roman"/>
                <w:bCs/>
                <w:color w:val="000000" w:themeColor="text1"/>
                <w:lang w:val="ro-MD"/>
              </w:rPr>
              <w:t xml:space="preserve">băncii </w:t>
            </w:r>
            <w:r w:rsidR="00BB7974" w:rsidRPr="00D96752">
              <w:rPr>
                <w:rFonts w:ascii="Times New Roman" w:hAnsi="Times New Roman" w:cs="Times New Roman"/>
                <w:bCs/>
                <w:color w:val="000000" w:themeColor="text1"/>
                <w:lang w:val="ro-MD"/>
              </w:rPr>
              <w:t>(„data contabilizării”);</w:t>
            </w:r>
          </w:p>
          <w:p w14:paraId="6B754EC5" w14:textId="28BE0613" w:rsidR="00BB7974" w:rsidRPr="00D96752" w:rsidRDefault="00CD6E50"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.2.</w:t>
            </w:r>
            <w:r w:rsidR="00BB7974" w:rsidRPr="00D96752">
              <w:rPr>
                <w:rFonts w:ascii="Times New Roman" w:hAnsi="Times New Roman" w:cs="Times New Roman"/>
                <w:bCs/>
                <w:color w:val="000000" w:themeColor="text1"/>
                <w:lang w:val="ro-MD"/>
              </w:rPr>
              <w:t> informații privind orice recuperare a cuantumurilor pierderilor brute, precum și informații descriptive privind factorii determinanți sau cauzele evenimentelor de pierdere.</w:t>
            </w:r>
          </w:p>
          <w:p w14:paraId="29272A04" w14:textId="4BFE6ACE" w:rsidR="00BB7974" w:rsidRPr="00D96752" w:rsidRDefault="00CD6E50"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3</w:t>
            </w:r>
            <w:r w:rsidRPr="00D96752">
              <w:rPr>
                <w:rFonts w:ascii="Times New Roman" w:hAnsi="Times New Roman" w:cs="Times New Roman"/>
                <w:bCs/>
                <w:color w:val="000000" w:themeColor="text1"/>
                <w:lang w:val="ro-MD"/>
              </w:rPr>
              <w:t xml:space="preserve">. </w:t>
            </w:r>
            <w:r w:rsidR="00BB7974" w:rsidRPr="00D96752">
              <w:rPr>
                <w:rFonts w:ascii="Times New Roman" w:hAnsi="Times New Roman" w:cs="Times New Roman"/>
                <w:bCs/>
                <w:color w:val="000000" w:themeColor="text1"/>
                <w:lang w:val="ro-MD"/>
              </w:rPr>
              <w:t>Nivelul de detaliu al oricărei informații descriptive este proporțional cu cuantumul pierderii brute.</w:t>
            </w:r>
            <w:bookmarkEnd w:id="36"/>
          </w:p>
        </w:tc>
        <w:tc>
          <w:tcPr>
            <w:tcW w:w="580" w:type="pct"/>
          </w:tcPr>
          <w:p w14:paraId="5E839299" w14:textId="30F84CFF" w:rsidR="00BB7974" w:rsidRPr="00D96752" w:rsidRDefault="00CD6E50"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789BEBCB"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69DC293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C82CF3C" w14:textId="12F3DC93"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(5)   O instituție nu include în setul de date privind pierderile evenimentele de risc operațional legate de riscul de credit care sunt contabilizate în cuantumul ponderat la risc al expunerii pentru riscul de credit. Evenimentele de risc operațional care sunt legate de riscul de credit, dar care nu sunt contabilizate în cuantumul ponderat la risc al expunerii pentru riscul de credit se includ în setul de date privind pierderile.</w:t>
            </w:r>
          </w:p>
        </w:tc>
        <w:tc>
          <w:tcPr>
            <w:tcW w:w="1588" w:type="pct"/>
            <w:shd w:val="clear" w:color="auto" w:fill="auto"/>
          </w:tcPr>
          <w:p w14:paraId="41553665" w14:textId="04517D10" w:rsidR="00BB7974" w:rsidRPr="00D96752" w:rsidRDefault="00CD6E50" w:rsidP="00BB7974">
            <w:pPr>
              <w:spacing w:after="0" w:line="276" w:lineRule="auto"/>
              <w:jc w:val="both"/>
              <w:rPr>
                <w:rFonts w:ascii="Times New Roman" w:hAnsi="Times New Roman" w:cs="Times New Roman"/>
                <w:bCs/>
                <w:color w:val="000000" w:themeColor="text1"/>
                <w:lang w:val="ro-MD"/>
              </w:rPr>
            </w:pPr>
            <w:bookmarkStart w:id="37" w:name="_Hlk193370342"/>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4</w:t>
            </w:r>
            <w:r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xml:space="preserve">   O </w:t>
            </w:r>
            <w:r w:rsidRPr="00D96752">
              <w:rPr>
                <w:rFonts w:ascii="Times New Roman" w:hAnsi="Times New Roman" w:cs="Times New Roman"/>
                <w:bCs/>
                <w:color w:val="000000" w:themeColor="text1"/>
                <w:lang w:val="ro-MD"/>
              </w:rPr>
              <w:t xml:space="preserve">bancă </w:t>
            </w:r>
            <w:r w:rsidR="00BB7974" w:rsidRPr="00D96752">
              <w:rPr>
                <w:rFonts w:ascii="Times New Roman" w:hAnsi="Times New Roman" w:cs="Times New Roman"/>
                <w:bCs/>
                <w:color w:val="000000" w:themeColor="text1"/>
                <w:lang w:val="ro-MD"/>
              </w:rPr>
              <w:t>nu include în setul de date privind pierderile evenimentele de risc operațional legate de riscul de credit care sunt contabilizate în cuantumul ponderat la risc al expunerii pentru riscul de credit. Evenimentele de risc operațional care sunt legate de riscul de credit, dar care nu sunt contabilizate în cuantumul ponderat la risc al expunerii pentru riscul de credit se includ în setul de date privind pierderile.</w:t>
            </w:r>
            <w:bookmarkEnd w:id="37"/>
          </w:p>
        </w:tc>
        <w:tc>
          <w:tcPr>
            <w:tcW w:w="580" w:type="pct"/>
          </w:tcPr>
          <w:p w14:paraId="7D14956F" w14:textId="1DDCE2B3" w:rsidR="00BB7974" w:rsidRPr="00D96752" w:rsidRDefault="006767F5"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9B5ADE0"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748917FE"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1566FA3" w14:textId="7345E418"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(6)   Evenimentele de risc operațional legate de riscul de piață se tratează ca risc operațional și se includ în setul de date privind pierderile.</w:t>
            </w:r>
          </w:p>
        </w:tc>
        <w:tc>
          <w:tcPr>
            <w:tcW w:w="1588" w:type="pct"/>
            <w:shd w:val="clear" w:color="auto" w:fill="auto"/>
          </w:tcPr>
          <w:p w14:paraId="4C0597E1" w14:textId="45378B94" w:rsidR="00BB7974" w:rsidRPr="00D96752" w:rsidRDefault="00CD6E50" w:rsidP="00BB7974">
            <w:pPr>
              <w:spacing w:after="0" w:line="276" w:lineRule="auto"/>
              <w:jc w:val="both"/>
              <w:rPr>
                <w:rFonts w:ascii="Times New Roman" w:hAnsi="Times New Roman" w:cs="Times New Roman"/>
                <w:bCs/>
                <w:color w:val="000000" w:themeColor="text1"/>
                <w:lang w:val="ro-MD"/>
              </w:rPr>
            </w:pPr>
            <w:bookmarkStart w:id="38" w:name="_Hlk193370371"/>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5</w:t>
            </w:r>
            <w:r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Evenimentele de risc operațional legate de riscul de piață se tratează ca risc operațional și se includ în setul de date privind pierderile.</w:t>
            </w:r>
            <w:bookmarkEnd w:id="38"/>
          </w:p>
        </w:tc>
        <w:tc>
          <w:tcPr>
            <w:tcW w:w="580" w:type="pct"/>
          </w:tcPr>
          <w:p w14:paraId="0DA08083" w14:textId="4D715400" w:rsidR="00BB7974" w:rsidRPr="00D96752" w:rsidRDefault="006767F5"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616ED909"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24774733"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37502F2" w14:textId="020C3042"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(7)   La cererea autorității competente, o instituție este în măsură să coreleze datele sale interne istorice privind pierderile cu tipul de evenimente.</w:t>
            </w:r>
          </w:p>
        </w:tc>
        <w:tc>
          <w:tcPr>
            <w:tcW w:w="1588" w:type="pct"/>
            <w:shd w:val="clear" w:color="auto" w:fill="auto"/>
          </w:tcPr>
          <w:p w14:paraId="3AFEAD32" w14:textId="0C3CA4BE" w:rsidR="00BB7974" w:rsidRPr="00D96752" w:rsidRDefault="00CD6E50" w:rsidP="00BB7974">
            <w:pPr>
              <w:spacing w:after="0" w:line="276" w:lineRule="auto"/>
              <w:jc w:val="both"/>
              <w:rPr>
                <w:rFonts w:ascii="Times New Roman" w:hAnsi="Times New Roman" w:cs="Times New Roman"/>
                <w:bCs/>
                <w:color w:val="000000" w:themeColor="text1"/>
                <w:lang w:val="ro-MD"/>
              </w:rPr>
            </w:pPr>
            <w:bookmarkStart w:id="39" w:name="_Hlk193370399"/>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6</w:t>
            </w:r>
            <w:r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xml:space="preserve">   La cererea </w:t>
            </w:r>
            <w:r w:rsidRPr="00D96752">
              <w:rPr>
                <w:rFonts w:ascii="Times New Roman" w:hAnsi="Times New Roman" w:cs="Times New Roman"/>
                <w:bCs/>
                <w:color w:val="000000" w:themeColor="text1"/>
                <w:lang w:val="ro-MD"/>
              </w:rPr>
              <w:t>BNM</w:t>
            </w:r>
            <w:r w:rsidR="00BB7974" w:rsidRPr="00D96752">
              <w:rPr>
                <w:rFonts w:ascii="Times New Roman" w:hAnsi="Times New Roman" w:cs="Times New Roman"/>
                <w:bCs/>
                <w:color w:val="000000" w:themeColor="text1"/>
                <w:lang w:val="ro-MD"/>
              </w:rPr>
              <w:t>, o </w:t>
            </w:r>
            <w:r w:rsidRPr="00D96752">
              <w:rPr>
                <w:rFonts w:ascii="Times New Roman" w:hAnsi="Times New Roman" w:cs="Times New Roman"/>
                <w:bCs/>
                <w:color w:val="000000" w:themeColor="text1"/>
                <w:lang w:val="ro-MD"/>
              </w:rPr>
              <w:t xml:space="preserve">bancă </w:t>
            </w:r>
            <w:r w:rsidR="000A4BEC" w:rsidRPr="00D96752">
              <w:rPr>
                <w:rFonts w:ascii="Times New Roman" w:hAnsi="Times New Roman" w:cs="Times New Roman"/>
                <w:bCs/>
                <w:color w:val="000000" w:themeColor="text1"/>
                <w:lang w:val="ro-MD"/>
              </w:rPr>
              <w:t>trebuie</w:t>
            </w:r>
            <w:r w:rsidR="00BB7974" w:rsidRPr="00D96752">
              <w:rPr>
                <w:rFonts w:ascii="Times New Roman" w:hAnsi="Times New Roman" w:cs="Times New Roman"/>
                <w:bCs/>
                <w:color w:val="000000" w:themeColor="text1"/>
                <w:lang w:val="ro-MD"/>
              </w:rPr>
              <w:t xml:space="preserve"> să coreleze datele sale interne istorice privind pierderile cu tipul de evenimente.</w:t>
            </w:r>
            <w:bookmarkEnd w:id="39"/>
          </w:p>
        </w:tc>
        <w:tc>
          <w:tcPr>
            <w:tcW w:w="580" w:type="pct"/>
          </w:tcPr>
          <w:p w14:paraId="5747223E" w14:textId="6B81AC15" w:rsidR="00BB7974" w:rsidRPr="00D96752" w:rsidRDefault="006767F5"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5EF97E83"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B7974" w:rsidRPr="00D96752" w14:paraId="70FA9F7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AAE7485" w14:textId="3DFE59EA"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(8)   În sensul prezentului articol, instituțiile asigură stabilitatea, soliditatea și performanța sistemelor și infrastructurii informatice necesare pentru a menține și a actualiza setul de date privind pierderile, în special asigurând toate elementele următoare:</w:t>
            </w:r>
          </w:p>
          <w:p w14:paraId="05EE1423" w14:textId="61CC4251"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(a) sistemele și infrastructura lor informatică sunt stabile și </w:t>
            </w:r>
            <w:proofErr w:type="spellStart"/>
            <w:r w:rsidRPr="00D96752">
              <w:rPr>
                <w:rFonts w:ascii="Times New Roman" w:hAnsi="Times New Roman" w:cs="Times New Roman"/>
                <w:bCs/>
                <w:color w:val="000000" w:themeColor="text1"/>
                <w:lang w:val="ro-MD"/>
              </w:rPr>
              <w:t>reziliente</w:t>
            </w:r>
            <w:proofErr w:type="spellEnd"/>
            <w:r w:rsidRPr="00D96752">
              <w:rPr>
                <w:rFonts w:ascii="Times New Roman" w:hAnsi="Times New Roman" w:cs="Times New Roman"/>
                <w:bCs/>
                <w:color w:val="000000" w:themeColor="text1"/>
                <w:lang w:val="ro-MD"/>
              </w:rPr>
              <w:t xml:space="preserve"> și stabilitatea și reziliența acestora pot fi menținute în mod continuu;</w:t>
            </w:r>
          </w:p>
          <w:p w14:paraId="72427276" w14:textId="7419153C"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sistemele și infrastructura lor informatică fac obiectul unor procese de gestionare a configurației, a modificărilor și a versiunilor;</w:t>
            </w:r>
          </w:p>
          <w:p w14:paraId="5633F152" w14:textId="015089A6"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(c) în cazul în care o instituție </w:t>
            </w:r>
            <w:proofErr w:type="spellStart"/>
            <w:r w:rsidRPr="00D96752">
              <w:rPr>
                <w:rFonts w:ascii="Times New Roman" w:hAnsi="Times New Roman" w:cs="Times New Roman"/>
                <w:bCs/>
                <w:color w:val="000000" w:themeColor="text1"/>
                <w:lang w:val="ro-MD"/>
              </w:rPr>
              <w:t>externalizează</w:t>
            </w:r>
            <w:proofErr w:type="spellEnd"/>
            <w:r w:rsidRPr="00D96752">
              <w:rPr>
                <w:rFonts w:ascii="Times New Roman" w:hAnsi="Times New Roman" w:cs="Times New Roman"/>
                <w:bCs/>
                <w:color w:val="000000" w:themeColor="text1"/>
                <w:lang w:val="ro-MD"/>
              </w:rPr>
              <w:t xml:space="preserve"> părți ale întreținerii sistemelor și infrastructurii sale informatice, stabilitatea, soliditatea și performanța sistemelor și a infrastructurii informatice sunt asigurate prin confirmarea cel puțin a următoarelor elemente:</w:t>
            </w:r>
          </w:p>
          <w:p w14:paraId="07B1C532" w14:textId="09BD59AF"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(i) sistemele și infrastructura sa informatică sunt stabile și </w:t>
            </w:r>
            <w:proofErr w:type="spellStart"/>
            <w:r w:rsidRPr="00D96752">
              <w:rPr>
                <w:rFonts w:ascii="Times New Roman" w:hAnsi="Times New Roman" w:cs="Times New Roman"/>
                <w:bCs/>
                <w:color w:val="000000" w:themeColor="text1"/>
                <w:lang w:val="ro-MD"/>
              </w:rPr>
              <w:t>reziliente</w:t>
            </w:r>
            <w:proofErr w:type="spellEnd"/>
            <w:r w:rsidRPr="00D96752">
              <w:rPr>
                <w:rFonts w:ascii="Times New Roman" w:hAnsi="Times New Roman" w:cs="Times New Roman"/>
                <w:bCs/>
                <w:color w:val="000000" w:themeColor="text1"/>
                <w:lang w:val="ro-MD"/>
              </w:rPr>
              <w:t xml:space="preserve"> și stabilitatea și reziliența acestora pot fi menținute în mod continuu;</w:t>
            </w:r>
          </w:p>
          <w:p w14:paraId="3458A42A" w14:textId="402640C7"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(ii) procesul de planificare, creare, testare și implementare a sistemelor și infrastructurii informatice este solid și adecvat în ceea ce privește managementul de proiect, administrarea riscurilor, guvernanța, </w:t>
            </w:r>
            <w:r w:rsidRPr="00D96752">
              <w:rPr>
                <w:rFonts w:ascii="Times New Roman" w:hAnsi="Times New Roman" w:cs="Times New Roman"/>
                <w:bCs/>
                <w:color w:val="000000" w:themeColor="text1"/>
                <w:lang w:val="ro-MD"/>
              </w:rPr>
              <w:lastRenderedPageBreak/>
              <w:t>ingineria, asigurarea calității și planificarea testării, modelarea și dezvoltarea sistemelor, asigurarea calității în legătură cu toate activitățile, inclusiv revizuirea codurilor și, după caz, verificarea codurilor, și testarea, inclusiv acceptarea de către utilizatori;</w:t>
            </w:r>
          </w:p>
          <w:p w14:paraId="2F974119" w14:textId="168FEC19"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(iii) sistemele și infrastructura sa informatică fac obiectul unor procese de gestionare a configurației, a modificărilor și a versiunilor;</w:t>
            </w:r>
          </w:p>
          <w:p w14:paraId="42ECD350" w14:textId="6E66488E" w:rsidR="00BB7974" w:rsidRPr="00D96752" w:rsidRDefault="00BB7974"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(iv) procesul de planificare, creare, testare și implementare a sistemelor și infrastructurii informatice și a planurilor de urgență este aprobat de organul de conducere sau de conducerea superioară a instituției și organul de conducere și conducerea superioară sunt informate periodic cu privire la performanța sistemelor și a infrastructurii informatice.</w:t>
            </w:r>
          </w:p>
        </w:tc>
        <w:tc>
          <w:tcPr>
            <w:tcW w:w="1588" w:type="pct"/>
            <w:shd w:val="clear" w:color="auto" w:fill="auto"/>
          </w:tcPr>
          <w:p w14:paraId="2B533A6A" w14:textId="0D5D69A3" w:rsidR="00BB7974" w:rsidRPr="00D96752" w:rsidRDefault="00CD6E50" w:rsidP="00BB7974">
            <w:pPr>
              <w:spacing w:after="0" w:line="276" w:lineRule="auto"/>
              <w:jc w:val="both"/>
              <w:rPr>
                <w:rFonts w:ascii="Times New Roman" w:hAnsi="Times New Roman" w:cs="Times New Roman"/>
                <w:bCs/>
                <w:color w:val="000000" w:themeColor="text1"/>
                <w:lang w:val="ro-MD"/>
              </w:rPr>
            </w:pPr>
            <w:bookmarkStart w:id="40" w:name="_Hlk193370440"/>
            <w:r w:rsidRPr="00D96752">
              <w:rPr>
                <w:rFonts w:ascii="Times New Roman" w:hAnsi="Times New Roman" w:cs="Times New Roman"/>
                <w:bCs/>
                <w:color w:val="000000" w:themeColor="text1"/>
                <w:lang w:val="ro-MD"/>
              </w:rPr>
              <w:lastRenderedPageBreak/>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w:t>
            </w:r>
            <w:r w:rsidR="00BB7974" w:rsidRPr="00D96752">
              <w:rPr>
                <w:rFonts w:ascii="Times New Roman" w:hAnsi="Times New Roman" w:cs="Times New Roman"/>
                <w:bCs/>
                <w:color w:val="000000" w:themeColor="text1"/>
                <w:lang w:val="ro-MD"/>
              </w:rPr>
              <w:t xml:space="preserve">   În sensul </w:t>
            </w:r>
            <w:r w:rsidRPr="00D96752">
              <w:rPr>
                <w:rFonts w:ascii="Times New Roman" w:hAnsi="Times New Roman" w:cs="Times New Roman"/>
                <w:bCs/>
                <w:color w:val="000000" w:themeColor="text1"/>
                <w:lang w:val="ro-MD"/>
              </w:rPr>
              <w:t>prezentei secțiuni</w:t>
            </w:r>
            <w:r w:rsidR="00BB7974"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 xml:space="preserve">băncile </w:t>
            </w:r>
            <w:r w:rsidR="00BB7974" w:rsidRPr="00D96752">
              <w:rPr>
                <w:rFonts w:ascii="Times New Roman" w:hAnsi="Times New Roman" w:cs="Times New Roman"/>
                <w:bCs/>
                <w:color w:val="000000" w:themeColor="text1"/>
                <w:lang w:val="ro-MD"/>
              </w:rPr>
              <w:t>asigură stabilitatea, soliditatea și performanța sistemelor și infrastructurii informatice necesare pentru a menține și a actualiza setul de date privind pierderile, în special asigurând toate elementele următoare:</w:t>
            </w:r>
          </w:p>
          <w:p w14:paraId="32F4C4E8" w14:textId="53AA4205"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.1.</w:t>
            </w:r>
            <w:r w:rsidR="00BB7974" w:rsidRPr="00D96752">
              <w:rPr>
                <w:rFonts w:ascii="Times New Roman" w:hAnsi="Times New Roman" w:cs="Times New Roman"/>
                <w:bCs/>
                <w:color w:val="000000" w:themeColor="text1"/>
                <w:lang w:val="ro-MD"/>
              </w:rPr>
              <w:t xml:space="preserve"> sistemele și infrastructura lor informatică sunt stabile și </w:t>
            </w:r>
            <w:proofErr w:type="spellStart"/>
            <w:r w:rsidR="00BB7974" w:rsidRPr="00D96752">
              <w:rPr>
                <w:rFonts w:ascii="Times New Roman" w:hAnsi="Times New Roman" w:cs="Times New Roman"/>
                <w:bCs/>
                <w:color w:val="000000" w:themeColor="text1"/>
                <w:lang w:val="ro-MD"/>
              </w:rPr>
              <w:t>reziliente</w:t>
            </w:r>
            <w:proofErr w:type="spellEnd"/>
            <w:r w:rsidR="00BB7974" w:rsidRPr="00D96752">
              <w:rPr>
                <w:rFonts w:ascii="Times New Roman" w:hAnsi="Times New Roman" w:cs="Times New Roman"/>
                <w:bCs/>
                <w:color w:val="000000" w:themeColor="text1"/>
                <w:lang w:val="ro-MD"/>
              </w:rPr>
              <w:t xml:space="preserve"> și stabilitatea și reziliența acestora pot fi menținute în mod continuu;</w:t>
            </w:r>
          </w:p>
          <w:p w14:paraId="7332CE4C" w14:textId="45B38F4F"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.2.</w:t>
            </w:r>
            <w:r w:rsidR="00BB7974" w:rsidRPr="00D96752">
              <w:rPr>
                <w:rFonts w:ascii="Times New Roman" w:hAnsi="Times New Roman" w:cs="Times New Roman"/>
                <w:bCs/>
                <w:color w:val="000000" w:themeColor="text1"/>
                <w:lang w:val="ro-MD"/>
              </w:rPr>
              <w:t> sistemele și infrastructura lor informatică fac obiectul unor procese de gestionare a configurației, a modificărilor și a versiunilor;</w:t>
            </w:r>
          </w:p>
          <w:p w14:paraId="7F212787" w14:textId="1A3A8620"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.3.</w:t>
            </w:r>
            <w:r w:rsidR="00BB7974" w:rsidRPr="00D96752">
              <w:rPr>
                <w:rFonts w:ascii="Times New Roman" w:hAnsi="Times New Roman" w:cs="Times New Roman"/>
                <w:bCs/>
                <w:color w:val="000000" w:themeColor="text1"/>
                <w:lang w:val="ro-MD"/>
              </w:rPr>
              <w:t> în cazul în care o </w:t>
            </w:r>
            <w:r w:rsidRPr="00D96752">
              <w:rPr>
                <w:rFonts w:ascii="Times New Roman" w:hAnsi="Times New Roman" w:cs="Times New Roman"/>
                <w:bCs/>
                <w:color w:val="000000" w:themeColor="text1"/>
                <w:lang w:val="ro-MD"/>
              </w:rPr>
              <w:t xml:space="preserve">bancă </w:t>
            </w:r>
            <w:proofErr w:type="spellStart"/>
            <w:r w:rsidR="00BB7974" w:rsidRPr="00D96752">
              <w:rPr>
                <w:rFonts w:ascii="Times New Roman" w:hAnsi="Times New Roman" w:cs="Times New Roman"/>
                <w:bCs/>
                <w:color w:val="000000" w:themeColor="text1"/>
                <w:lang w:val="ro-MD"/>
              </w:rPr>
              <w:t>externalizează</w:t>
            </w:r>
            <w:proofErr w:type="spellEnd"/>
            <w:r w:rsidR="00BB7974" w:rsidRPr="00D96752">
              <w:rPr>
                <w:rFonts w:ascii="Times New Roman" w:hAnsi="Times New Roman" w:cs="Times New Roman"/>
                <w:bCs/>
                <w:color w:val="000000" w:themeColor="text1"/>
                <w:lang w:val="ro-MD"/>
              </w:rPr>
              <w:t xml:space="preserve"> părți ale întreținerii sistemelor și infrastructurii sale informatice, stabilitatea, soliditatea și performanța sistemelor și a infrastructurii informatice sunt asigurate prin confirmarea cel puțin a următoarelor elemente:</w:t>
            </w:r>
          </w:p>
          <w:p w14:paraId="35F651DE" w14:textId="5238321F"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.3.1.</w:t>
            </w:r>
            <w:r w:rsidR="00BB7974" w:rsidRPr="00D96752">
              <w:rPr>
                <w:rFonts w:ascii="Times New Roman" w:hAnsi="Times New Roman" w:cs="Times New Roman"/>
                <w:bCs/>
                <w:color w:val="000000" w:themeColor="text1"/>
                <w:lang w:val="ro-MD"/>
              </w:rPr>
              <w:t xml:space="preserve"> sistemele și infrastructura sa informatică sunt stabile și </w:t>
            </w:r>
            <w:proofErr w:type="spellStart"/>
            <w:r w:rsidR="00BB7974" w:rsidRPr="00D96752">
              <w:rPr>
                <w:rFonts w:ascii="Times New Roman" w:hAnsi="Times New Roman" w:cs="Times New Roman"/>
                <w:bCs/>
                <w:color w:val="000000" w:themeColor="text1"/>
                <w:lang w:val="ro-MD"/>
              </w:rPr>
              <w:t>reziliente</w:t>
            </w:r>
            <w:proofErr w:type="spellEnd"/>
            <w:r w:rsidR="00BB7974" w:rsidRPr="00D96752">
              <w:rPr>
                <w:rFonts w:ascii="Times New Roman" w:hAnsi="Times New Roman" w:cs="Times New Roman"/>
                <w:bCs/>
                <w:color w:val="000000" w:themeColor="text1"/>
                <w:lang w:val="ro-MD"/>
              </w:rPr>
              <w:t xml:space="preserve"> și stabilitatea și reziliența acestora pot fi menținute în mod continuu;</w:t>
            </w:r>
          </w:p>
          <w:p w14:paraId="45AF73CF" w14:textId="50E7A774"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.3.2.</w:t>
            </w:r>
            <w:r w:rsidR="00BB7974" w:rsidRPr="00D96752">
              <w:rPr>
                <w:rFonts w:ascii="Times New Roman" w:hAnsi="Times New Roman" w:cs="Times New Roman"/>
                <w:bCs/>
                <w:color w:val="000000" w:themeColor="text1"/>
                <w:lang w:val="ro-MD"/>
              </w:rPr>
              <w:t xml:space="preserve"> procesul de planificare, creare, testare și implementare a sistemelor și infrastructurii informatice este solid și adecvat în ceea ce privește managementul de proiect, administrarea riscurilor, guvernanța, </w:t>
            </w:r>
            <w:r w:rsidR="00BB7974" w:rsidRPr="00D96752">
              <w:rPr>
                <w:rFonts w:ascii="Times New Roman" w:hAnsi="Times New Roman" w:cs="Times New Roman"/>
                <w:bCs/>
                <w:color w:val="000000" w:themeColor="text1"/>
                <w:lang w:val="ro-MD"/>
              </w:rPr>
              <w:lastRenderedPageBreak/>
              <w:t>ingineria, asigurarea calității și planificarea testării, modelarea și dezvoltarea sistemelor, asigurarea calității în legătură cu toate activitățile, inclusiv revizuirea codurilor și, după caz, verificarea codurilor, și testarea, inclusiv acceptarea de către utilizatori;</w:t>
            </w:r>
          </w:p>
          <w:p w14:paraId="76FAB4F2" w14:textId="620FDEF6"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.3.3.</w:t>
            </w:r>
            <w:r w:rsidR="00BB7974" w:rsidRPr="00D96752">
              <w:rPr>
                <w:rFonts w:ascii="Times New Roman" w:hAnsi="Times New Roman" w:cs="Times New Roman"/>
                <w:bCs/>
                <w:color w:val="000000" w:themeColor="text1"/>
                <w:lang w:val="ro-MD"/>
              </w:rPr>
              <w:t> sistemele și infrastructura sa informatică fac obiectul unor procese de gestionare a configurației, a modificărilor și a versiunilor;</w:t>
            </w:r>
          </w:p>
          <w:p w14:paraId="12738626" w14:textId="36AEF4A6" w:rsidR="00BB7974" w:rsidRPr="00D96752" w:rsidRDefault="00B14BF1" w:rsidP="00BB7974">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.3.4.</w:t>
            </w:r>
            <w:r w:rsidR="00BB7974" w:rsidRPr="00D96752">
              <w:rPr>
                <w:rFonts w:ascii="Times New Roman" w:hAnsi="Times New Roman" w:cs="Times New Roman"/>
                <w:bCs/>
                <w:color w:val="000000" w:themeColor="text1"/>
                <w:lang w:val="ro-MD"/>
              </w:rPr>
              <w:t> procesul de planificare, creare, testare și implementare a sistemelor și infrastructurii informatice și a planurilor de urgență este aprobat de organul de conducere sau de conducerea superioară a </w:t>
            </w:r>
            <w:r w:rsidRPr="00D96752">
              <w:rPr>
                <w:rFonts w:ascii="Times New Roman" w:hAnsi="Times New Roman" w:cs="Times New Roman"/>
                <w:bCs/>
                <w:color w:val="000000" w:themeColor="text1"/>
                <w:lang w:val="ro-MD"/>
              </w:rPr>
              <w:t xml:space="preserve">băncii </w:t>
            </w:r>
            <w:r w:rsidR="00BB7974" w:rsidRPr="00D96752">
              <w:rPr>
                <w:rFonts w:ascii="Times New Roman" w:hAnsi="Times New Roman" w:cs="Times New Roman"/>
                <w:bCs/>
                <w:color w:val="000000" w:themeColor="text1"/>
                <w:lang w:val="ro-MD"/>
              </w:rPr>
              <w:t>și organul de conducere și conducerea superioară sunt informate periodic cu privire la performanța sistemelor și a infrastructurii informatice.</w:t>
            </w:r>
            <w:bookmarkEnd w:id="40"/>
          </w:p>
        </w:tc>
        <w:tc>
          <w:tcPr>
            <w:tcW w:w="580" w:type="pct"/>
          </w:tcPr>
          <w:p w14:paraId="74EE0A5C" w14:textId="1D130469" w:rsidR="00BB7974" w:rsidRPr="00D96752" w:rsidRDefault="00703DC9" w:rsidP="00BB7974">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6B107237" w14:textId="77777777" w:rsidR="00BB7974" w:rsidRPr="00D96752" w:rsidRDefault="00BB7974" w:rsidP="00BB7974">
            <w:pPr>
              <w:spacing w:line="276" w:lineRule="auto"/>
              <w:jc w:val="both"/>
              <w:rPr>
                <w:rFonts w:ascii="Times New Roman" w:hAnsi="Times New Roman" w:cs="Times New Roman"/>
                <w:bCs/>
                <w:color w:val="000000" w:themeColor="text1"/>
                <w:lang w:val="ro-MD"/>
              </w:rPr>
            </w:pPr>
          </w:p>
        </w:tc>
      </w:tr>
      <w:tr w:rsidR="00B14BF1" w:rsidRPr="00D96752" w14:paraId="1C22DD63"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A2490EC" w14:textId="44700D0A"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(9)  În sensul alineatului (7), ABE elaborează proiecte de standarde tehnice de reglementare care să stabilească o taxonomie a riscului operațional care respectă standardele internaționale, precum și o metodologie de clasificare a evenimentelor de pierdere incluse în setul de date privind pierderile, pe baza respectivei taxonomii a riscului operațional.</w:t>
            </w:r>
          </w:p>
          <w:p w14:paraId="77D885B2"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2026.</w:t>
            </w:r>
          </w:p>
          <w:p w14:paraId="294AA5D6" w14:textId="19B109B5"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Se deleagă Comisiei competența de a completa prezentul regulament prin adoptarea standardelor </w:t>
            </w:r>
            <w:r w:rsidRPr="00D96752">
              <w:rPr>
                <w:rFonts w:ascii="Times New Roman" w:hAnsi="Times New Roman" w:cs="Times New Roman"/>
                <w:bCs/>
                <w:color w:val="000000" w:themeColor="text1"/>
                <w:lang w:val="ro-MD"/>
              </w:rPr>
              <w:lastRenderedPageBreak/>
              <w:t>tehnice de reglementare menționate la primul paragraf de la prezentul alineat în conformitate cu articolele 10-14 din Regulamentul (UE) nr. 1093/2010.</w:t>
            </w:r>
          </w:p>
        </w:tc>
        <w:tc>
          <w:tcPr>
            <w:tcW w:w="1588" w:type="pct"/>
            <w:shd w:val="clear" w:color="auto" w:fill="auto"/>
          </w:tcPr>
          <w:p w14:paraId="2FC8C8F4" w14:textId="3DC7363B" w:rsidR="00B14BF1" w:rsidRPr="00D96752" w:rsidRDefault="00B14BF1" w:rsidP="00B14BF1">
            <w:pPr>
              <w:spacing w:after="0" w:line="276" w:lineRule="auto"/>
              <w:jc w:val="both"/>
              <w:rPr>
                <w:rFonts w:ascii="Times New Roman" w:hAnsi="Times New Roman" w:cs="Times New Roman"/>
                <w:bCs/>
                <w:color w:val="000000" w:themeColor="text1"/>
                <w:lang w:val="ro-MD"/>
              </w:rPr>
            </w:pPr>
          </w:p>
        </w:tc>
        <w:tc>
          <w:tcPr>
            <w:tcW w:w="580" w:type="pct"/>
          </w:tcPr>
          <w:p w14:paraId="44D1F3AF" w14:textId="5047387E" w:rsidR="00B14BF1" w:rsidRPr="00D96752" w:rsidRDefault="00B14BF1"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457E5F82" w14:textId="574F2CF0" w:rsidR="00B14BF1" w:rsidRPr="00D96752" w:rsidRDefault="00B14BF1"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B14BF1" w:rsidRPr="00D96752" w14:paraId="26F00914"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702898F" w14:textId="0EC19CCB"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(10)   În sensul alineatului (8), ABE emite ghiduri, în conformitate cu articolul 16 din Regulamentul (UE) nr. 1093/2010, în care explică elementele tehnice necesare pentru a asigura stabilitatea, soliditatea și performanța mecanismelor de guvernanță destinate menținerii setului de date privind pierderile, cu o atenție deosebită acordată sistemelor și infrastructurilor informatice.</w:t>
            </w:r>
          </w:p>
        </w:tc>
        <w:tc>
          <w:tcPr>
            <w:tcW w:w="1588" w:type="pct"/>
            <w:shd w:val="clear" w:color="auto" w:fill="auto"/>
          </w:tcPr>
          <w:p w14:paraId="7764000C" w14:textId="1E784E3A" w:rsidR="00B14BF1" w:rsidRPr="00D96752" w:rsidRDefault="00B14BF1" w:rsidP="00B14BF1">
            <w:pPr>
              <w:spacing w:after="0" w:line="276" w:lineRule="auto"/>
              <w:jc w:val="both"/>
              <w:rPr>
                <w:rFonts w:ascii="Times New Roman" w:hAnsi="Times New Roman" w:cs="Times New Roman"/>
                <w:bCs/>
                <w:color w:val="000000" w:themeColor="text1"/>
                <w:lang w:val="ro-MD"/>
              </w:rPr>
            </w:pPr>
          </w:p>
        </w:tc>
        <w:tc>
          <w:tcPr>
            <w:tcW w:w="580" w:type="pct"/>
          </w:tcPr>
          <w:p w14:paraId="5262C90A" w14:textId="4316F839" w:rsidR="00B14BF1" w:rsidRPr="00D96752" w:rsidRDefault="00B14BF1"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32C76810" w14:textId="633D71D4" w:rsidR="00B14BF1" w:rsidRPr="00D96752" w:rsidRDefault="00B14BF1"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B14BF1" w:rsidRPr="00D96752" w14:paraId="4EAD0E90"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963B8ED" w14:textId="77777777" w:rsidR="00B14BF1" w:rsidRPr="00D96752" w:rsidRDefault="00B14BF1" w:rsidP="00B14BF1">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318</w:t>
            </w:r>
          </w:p>
          <w:p w14:paraId="11BA3557" w14:textId="77777777" w:rsidR="00B14BF1" w:rsidRPr="00D96752" w:rsidRDefault="00B14BF1" w:rsidP="00B14BF1">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Calcularea pierderii nete și a pierderii brute</w:t>
            </w:r>
          </w:p>
          <w:p w14:paraId="36B7C730" w14:textId="1E94B171"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În sensul articolului 316 alineatul (1), instituțiile calculează pierderea netă pentru fiecare eveniment de risc operațional, după cum urmează:</w:t>
            </w:r>
          </w:p>
          <w:p w14:paraId="436147AA"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pierdere netă = pierdere brută – recuperare</w:t>
            </w:r>
          </w:p>
          <w:p w14:paraId="06072CB0"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679"/>
              <w:gridCol w:w="4134"/>
            </w:tblGrid>
            <w:tr w:rsidR="00B14BF1" w:rsidRPr="00D96752" w14:paraId="545E42B5" w14:textId="77777777" w:rsidTr="00E47346">
              <w:tc>
                <w:tcPr>
                  <w:tcW w:w="1352" w:type="dxa"/>
                  <w:shd w:val="clear" w:color="auto" w:fill="auto"/>
                  <w:hideMark/>
                </w:tcPr>
                <w:p w14:paraId="5C4A0CF0"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pierdere brută</w:t>
                  </w:r>
                </w:p>
              </w:tc>
              <w:tc>
                <w:tcPr>
                  <w:tcW w:w="8337" w:type="dxa"/>
                  <w:shd w:val="clear" w:color="auto" w:fill="auto"/>
                  <w:hideMark/>
                </w:tcPr>
                <w:p w14:paraId="1FDF4B73"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o pierdere legată de un eveniment de risc operațional înainte de efectuarea oricărui tip de recuperări;</w:t>
                  </w:r>
                </w:p>
              </w:tc>
            </w:tr>
          </w:tbl>
          <w:p w14:paraId="3F3201FB" w14:textId="77777777" w:rsidR="00B14BF1" w:rsidRPr="00D96752" w:rsidRDefault="00B14BF1" w:rsidP="00B14BF1">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574"/>
              <w:gridCol w:w="4239"/>
            </w:tblGrid>
            <w:tr w:rsidR="00B14BF1" w:rsidRPr="00D96752" w14:paraId="77F9E492" w14:textId="77777777" w:rsidTr="00E47346">
              <w:tc>
                <w:tcPr>
                  <w:tcW w:w="1139" w:type="dxa"/>
                  <w:shd w:val="clear" w:color="auto" w:fill="auto"/>
                  <w:hideMark/>
                </w:tcPr>
                <w:p w14:paraId="7C82C70F"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recuperare</w:t>
                  </w:r>
                </w:p>
              </w:tc>
              <w:tc>
                <w:tcPr>
                  <w:tcW w:w="8550" w:type="dxa"/>
                  <w:shd w:val="clear" w:color="auto" w:fill="auto"/>
                  <w:hideMark/>
                </w:tcPr>
                <w:p w14:paraId="401B723A"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unul sau mai multe evenimente independente legate de evenimentul de risc operațional inițial, separate în timp, prin care se primesc fonduri sau intrări de beneficii economice de la un terț.</w:t>
                  </w:r>
                </w:p>
              </w:tc>
            </w:tr>
          </w:tbl>
          <w:p w14:paraId="48C2BC82"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Instituțiile mențin în permanență un calcul actualizat al pierderii nete pentru fiecare eveniment specific de risc operațional. În acest scop, instituțiile actualizează calculul pierderii nete pe baza variațiilor observate sau estimate ale pierderii brute și ale recuperării pentru fiecare din ultimele 10 exerciții financiare. În cazul în care se observă pierderi legate de același eveniment de risc operațional în cursul mai multor exerciții financiare din intervalul de timp de 10 ani menționat, instituția calculează și actualizează:</w:t>
            </w:r>
          </w:p>
          <w:p w14:paraId="6E73BFF2" w14:textId="4968118B"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pierderea netă, pierderea brută și recuperarea pentru fiecare dintre exercițiile financiare din intervalul de timp de 10 ani în care au fost înregistrate pierderea netă, pierderea brută și recuperarea;</w:t>
            </w:r>
          </w:p>
          <w:p w14:paraId="0D0A6FAE" w14:textId="1DDF133C"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pierderea netă agregată, pierderea brută agregată și recuperarea agregată pentru toate exercițiile financiare relevante din intervalul de timp de 10 ani.</w:t>
            </w:r>
          </w:p>
        </w:tc>
        <w:tc>
          <w:tcPr>
            <w:tcW w:w="1588" w:type="pct"/>
            <w:shd w:val="clear" w:color="auto" w:fill="auto"/>
          </w:tcPr>
          <w:p w14:paraId="365290D5" w14:textId="18D1D4E1" w:rsidR="00B14BF1" w:rsidRPr="00D96752" w:rsidRDefault="00B14BF1" w:rsidP="00B14BF1">
            <w:pPr>
              <w:spacing w:after="0" w:line="276" w:lineRule="auto"/>
              <w:jc w:val="both"/>
              <w:rPr>
                <w:rFonts w:ascii="Times New Roman" w:hAnsi="Times New Roman" w:cs="Times New Roman"/>
                <w:b/>
                <w:bCs/>
                <w:color w:val="000000" w:themeColor="text1"/>
                <w:lang w:val="ro-MD"/>
              </w:rPr>
            </w:pPr>
            <w:bookmarkStart w:id="41" w:name="_Hlk193370498"/>
            <w:r w:rsidRPr="00D96752">
              <w:rPr>
                <w:rFonts w:ascii="Times New Roman" w:hAnsi="Times New Roman" w:cs="Times New Roman"/>
                <w:b/>
                <w:bCs/>
                <w:sz w:val="24"/>
                <w:szCs w:val="24"/>
                <w:lang w:val="it-IT"/>
              </w:rPr>
              <w:lastRenderedPageBreak/>
              <w:t xml:space="preserve">Secțiunea 3. </w:t>
            </w:r>
            <w:r w:rsidRPr="00D96752">
              <w:rPr>
                <w:rFonts w:ascii="Times New Roman" w:hAnsi="Times New Roman" w:cs="Times New Roman"/>
                <w:b/>
                <w:bCs/>
                <w:color w:val="000000" w:themeColor="text1"/>
                <w:lang w:val="ro-MD"/>
              </w:rPr>
              <w:t>Calcularea pierderii nete și a pierderii brute</w:t>
            </w:r>
          </w:p>
          <w:p w14:paraId="188B02A3" w14:textId="276669A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8</w:t>
            </w:r>
            <w:r w:rsidRPr="00D96752">
              <w:rPr>
                <w:rFonts w:ascii="Times New Roman" w:hAnsi="Times New Roman" w:cs="Times New Roman"/>
                <w:bCs/>
                <w:color w:val="000000" w:themeColor="text1"/>
                <w:lang w:val="ro-MD"/>
              </w:rPr>
              <w:t xml:space="preserve">. În sensul </w:t>
            </w:r>
            <w:r w:rsidR="006767F5" w:rsidRPr="00D96752">
              <w:rPr>
                <w:rFonts w:ascii="Times New Roman" w:hAnsi="Times New Roman" w:cs="Times New Roman"/>
                <w:bCs/>
                <w:color w:val="000000" w:themeColor="text1"/>
                <w:lang w:val="ro-MD"/>
              </w:rPr>
              <w:t>pct.1</w:t>
            </w:r>
            <w:r w:rsidR="004D1A0E" w:rsidRPr="00D96752">
              <w:rPr>
                <w:rFonts w:ascii="Times New Roman" w:hAnsi="Times New Roman" w:cs="Times New Roman"/>
                <w:bCs/>
                <w:color w:val="000000" w:themeColor="text1"/>
                <w:lang w:val="ro-MD"/>
              </w:rPr>
              <w:t>6</w:t>
            </w:r>
            <w:r w:rsidRPr="00D96752">
              <w:rPr>
                <w:rFonts w:ascii="Times New Roman" w:hAnsi="Times New Roman" w:cs="Times New Roman"/>
                <w:bCs/>
                <w:color w:val="000000" w:themeColor="text1"/>
                <w:lang w:val="ro-MD"/>
              </w:rPr>
              <w:t xml:space="preserve">, </w:t>
            </w:r>
            <w:r w:rsidR="00D901DD" w:rsidRPr="00D96752">
              <w:rPr>
                <w:rFonts w:ascii="Times New Roman" w:hAnsi="Times New Roman" w:cs="Times New Roman"/>
                <w:bCs/>
                <w:color w:val="000000" w:themeColor="text1"/>
                <w:lang w:val="ro-MD"/>
              </w:rPr>
              <w:t xml:space="preserve">băncile </w:t>
            </w:r>
            <w:r w:rsidRPr="00D96752">
              <w:rPr>
                <w:rFonts w:ascii="Times New Roman" w:hAnsi="Times New Roman" w:cs="Times New Roman"/>
                <w:bCs/>
                <w:color w:val="000000" w:themeColor="text1"/>
                <w:lang w:val="ro-MD"/>
              </w:rPr>
              <w:t>calculează pierderea netă pentru fiecare eveniment de risc operațional, după cum urmează:</w:t>
            </w:r>
          </w:p>
          <w:p w14:paraId="27F0F717"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i/>
                <w:iCs/>
                <w:color w:val="000000" w:themeColor="text1"/>
                <w:lang w:val="ro-MD"/>
              </w:rPr>
              <w:t>pierdere netă = pierdere brută – recuperare</w:t>
            </w:r>
          </w:p>
          <w:p w14:paraId="6243F8F5"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unde:</w:t>
            </w:r>
          </w:p>
          <w:tbl>
            <w:tblPr>
              <w:tblW w:w="4854" w:type="dxa"/>
              <w:tblLayout w:type="fixed"/>
              <w:tblCellMar>
                <w:left w:w="0" w:type="dxa"/>
                <w:right w:w="0" w:type="dxa"/>
              </w:tblCellMar>
              <w:tblLook w:val="04A0" w:firstRow="1" w:lastRow="0" w:firstColumn="1" w:lastColumn="0" w:noHBand="0" w:noVBand="1"/>
            </w:tblPr>
            <w:tblGrid>
              <w:gridCol w:w="829"/>
              <w:gridCol w:w="4025"/>
            </w:tblGrid>
            <w:tr w:rsidR="00B14BF1" w:rsidRPr="00D96752" w14:paraId="3AB2E90D" w14:textId="77777777" w:rsidTr="00482F7C">
              <w:tc>
                <w:tcPr>
                  <w:tcW w:w="829" w:type="dxa"/>
                  <w:shd w:val="clear" w:color="auto" w:fill="auto"/>
                  <w:hideMark/>
                </w:tcPr>
                <w:p w14:paraId="64B2B368"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pierdere brută</w:t>
                  </w:r>
                </w:p>
              </w:tc>
              <w:tc>
                <w:tcPr>
                  <w:tcW w:w="4025" w:type="dxa"/>
                  <w:shd w:val="clear" w:color="auto" w:fill="auto"/>
                  <w:hideMark/>
                </w:tcPr>
                <w:p w14:paraId="369985E8"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o pierdere legată de un eveniment de risc operațional înainte de efectuarea oricărui tip de recuperări;</w:t>
                  </w:r>
                </w:p>
              </w:tc>
            </w:tr>
          </w:tbl>
          <w:p w14:paraId="7CA37468" w14:textId="77777777" w:rsidR="00B14BF1" w:rsidRPr="00D96752" w:rsidRDefault="00B14BF1" w:rsidP="00B14BF1">
            <w:pPr>
              <w:spacing w:after="0" w:line="276" w:lineRule="auto"/>
              <w:jc w:val="both"/>
              <w:rPr>
                <w:rFonts w:ascii="Times New Roman" w:hAnsi="Times New Roman" w:cs="Times New Roman"/>
                <w:bCs/>
                <w:vanish/>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575"/>
              <w:gridCol w:w="4254"/>
            </w:tblGrid>
            <w:tr w:rsidR="00B14BF1" w:rsidRPr="00D96752" w14:paraId="4D1ADB1E" w14:textId="77777777" w:rsidTr="00EB6DBC">
              <w:tc>
                <w:tcPr>
                  <w:tcW w:w="1139" w:type="dxa"/>
                  <w:shd w:val="clear" w:color="auto" w:fill="auto"/>
                  <w:hideMark/>
                </w:tcPr>
                <w:p w14:paraId="25B5AE12"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recuperare</w:t>
                  </w:r>
                </w:p>
              </w:tc>
              <w:tc>
                <w:tcPr>
                  <w:tcW w:w="8550" w:type="dxa"/>
                  <w:shd w:val="clear" w:color="auto" w:fill="auto"/>
                  <w:hideMark/>
                </w:tcPr>
                <w:p w14:paraId="45E3BEC8"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unul sau mai multe evenimente independente legate de evenimentul de risc operațional inițial, separate în timp, prin care se primesc fonduri sau intrări de beneficii economice de la un terț.</w:t>
                  </w:r>
                </w:p>
              </w:tc>
            </w:tr>
          </w:tbl>
          <w:p w14:paraId="1A54ED49" w14:textId="7A6B6B32" w:rsidR="00B14BF1" w:rsidRPr="00D96752" w:rsidRDefault="00D901DD"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2</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 xml:space="preserve">. Băncile </w:t>
            </w:r>
            <w:r w:rsidR="00B14BF1" w:rsidRPr="00D96752">
              <w:rPr>
                <w:rFonts w:ascii="Times New Roman" w:hAnsi="Times New Roman" w:cs="Times New Roman"/>
                <w:bCs/>
                <w:color w:val="000000" w:themeColor="text1"/>
                <w:lang w:val="ro-MD"/>
              </w:rPr>
              <w:t xml:space="preserve">mențin în permanență un calcul actualizat al pierderii nete pentru fiecare eveniment specific de risc operațional. În acest scop, </w:t>
            </w:r>
            <w:r w:rsidRPr="00D96752">
              <w:rPr>
                <w:rFonts w:ascii="Times New Roman" w:hAnsi="Times New Roman" w:cs="Times New Roman"/>
                <w:bCs/>
                <w:color w:val="000000" w:themeColor="text1"/>
                <w:lang w:val="ro-MD"/>
              </w:rPr>
              <w:t xml:space="preserve">băncile </w:t>
            </w:r>
            <w:r w:rsidR="00B14BF1" w:rsidRPr="00D96752">
              <w:rPr>
                <w:rFonts w:ascii="Times New Roman" w:hAnsi="Times New Roman" w:cs="Times New Roman"/>
                <w:bCs/>
                <w:color w:val="000000" w:themeColor="text1"/>
                <w:lang w:val="ro-MD"/>
              </w:rPr>
              <w:t xml:space="preserve">actualizează calculul pierderii nete pe baza variațiilor observate sau estimate ale pierderii brute și ale recuperării pentru fiecare </w:t>
            </w:r>
            <w:r w:rsidR="00512C2C" w:rsidRPr="00D96752">
              <w:rPr>
                <w:rFonts w:ascii="Times New Roman" w:hAnsi="Times New Roman" w:cs="Times New Roman"/>
                <w:bCs/>
                <w:color w:val="000000" w:themeColor="text1"/>
                <w:lang w:val="ro-MD"/>
              </w:rPr>
              <w:t xml:space="preserve">exercițiu financiar </w:t>
            </w:r>
            <w:r w:rsidR="00B14BF1" w:rsidRPr="00D96752">
              <w:rPr>
                <w:rFonts w:ascii="Times New Roman" w:hAnsi="Times New Roman" w:cs="Times New Roman"/>
                <w:bCs/>
                <w:color w:val="000000" w:themeColor="text1"/>
                <w:lang w:val="ro-MD"/>
              </w:rPr>
              <w:t>din ultim</w:t>
            </w:r>
            <w:r w:rsidR="00512C2C" w:rsidRPr="00D96752">
              <w:rPr>
                <w:rFonts w:ascii="Times New Roman" w:hAnsi="Times New Roman" w:cs="Times New Roman"/>
                <w:bCs/>
                <w:color w:val="000000" w:themeColor="text1"/>
                <w:lang w:val="ro-MD"/>
              </w:rPr>
              <w:t>ii</w:t>
            </w:r>
            <w:r w:rsidR="00B14BF1" w:rsidRPr="00D96752">
              <w:rPr>
                <w:rFonts w:ascii="Times New Roman" w:hAnsi="Times New Roman" w:cs="Times New Roman"/>
                <w:bCs/>
                <w:color w:val="000000" w:themeColor="text1"/>
                <w:lang w:val="ro-MD"/>
              </w:rPr>
              <w:t xml:space="preserve"> 10 </w:t>
            </w:r>
            <w:r w:rsidR="00512C2C" w:rsidRPr="00D96752">
              <w:rPr>
                <w:rFonts w:ascii="Times New Roman" w:hAnsi="Times New Roman" w:cs="Times New Roman"/>
                <w:bCs/>
                <w:color w:val="000000" w:themeColor="text1"/>
                <w:lang w:val="ro-MD"/>
              </w:rPr>
              <w:t>ani</w:t>
            </w:r>
            <w:r w:rsidR="00B14BF1" w:rsidRPr="00D96752">
              <w:rPr>
                <w:rFonts w:ascii="Times New Roman" w:hAnsi="Times New Roman" w:cs="Times New Roman"/>
                <w:bCs/>
                <w:color w:val="000000" w:themeColor="text1"/>
                <w:lang w:val="ro-MD"/>
              </w:rPr>
              <w:t xml:space="preserve">. În cazul în care se observă pierderi legate de același eveniment de risc operațional în cursul mai multor exerciții financiare din intervalul de timp de 10 ani menționat, </w:t>
            </w:r>
            <w:r w:rsidRPr="00D96752">
              <w:rPr>
                <w:rFonts w:ascii="Times New Roman" w:hAnsi="Times New Roman" w:cs="Times New Roman"/>
                <w:bCs/>
                <w:color w:val="000000" w:themeColor="text1"/>
                <w:lang w:val="ro-MD"/>
              </w:rPr>
              <w:t xml:space="preserve">banca </w:t>
            </w:r>
            <w:r w:rsidR="00B14BF1" w:rsidRPr="00D96752">
              <w:rPr>
                <w:rFonts w:ascii="Times New Roman" w:hAnsi="Times New Roman" w:cs="Times New Roman"/>
                <w:bCs/>
                <w:color w:val="000000" w:themeColor="text1"/>
                <w:lang w:val="ro-MD"/>
              </w:rPr>
              <w:t>calculează și actualizează:</w:t>
            </w:r>
          </w:p>
          <w:p w14:paraId="471FC5C3" w14:textId="05FC6277" w:rsidR="00B14BF1" w:rsidRPr="00D96752" w:rsidRDefault="00D901DD"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.1.</w:t>
            </w:r>
            <w:r w:rsidR="00B14BF1" w:rsidRPr="00D96752">
              <w:rPr>
                <w:rFonts w:ascii="Times New Roman" w:hAnsi="Times New Roman" w:cs="Times New Roman"/>
                <w:bCs/>
                <w:color w:val="000000" w:themeColor="text1"/>
                <w:lang w:val="ro-MD"/>
              </w:rPr>
              <w:t> pierderea netă, pierderea brută și recuperarea pentru fiecare dintre exercițiile financiare din intervalul de timp de 10 ani în care au fost înregistrate pierderea netă, pierderea brută și recuperarea;</w:t>
            </w:r>
          </w:p>
          <w:p w14:paraId="646B2706" w14:textId="3E5A281A" w:rsidR="00B14BF1" w:rsidRPr="00D96752" w:rsidRDefault="00D901DD"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.2.</w:t>
            </w:r>
            <w:r w:rsidR="00B14BF1" w:rsidRPr="00D96752">
              <w:rPr>
                <w:rFonts w:ascii="Times New Roman" w:hAnsi="Times New Roman" w:cs="Times New Roman"/>
                <w:bCs/>
                <w:color w:val="000000" w:themeColor="text1"/>
                <w:lang w:val="ro-MD"/>
              </w:rPr>
              <w:t> pierderea netă agregată, pierderea brută agregată și recuperarea agregată pentru toate exercițiile financiare relevante din intervalul de timp de 10 ani.</w:t>
            </w:r>
            <w:bookmarkEnd w:id="41"/>
          </w:p>
        </w:tc>
        <w:tc>
          <w:tcPr>
            <w:tcW w:w="580" w:type="pct"/>
          </w:tcPr>
          <w:p w14:paraId="7DC4FB16" w14:textId="27E9B165" w:rsidR="00B14BF1" w:rsidRPr="00D96752" w:rsidRDefault="006767F5"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08E184B7"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B14BF1" w:rsidRPr="00D96752" w14:paraId="5F85AE01"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48C560A0" w14:textId="37934BCC"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   În sensul alineatului (1), în calculul pierderii brute se includ următoarele elemente:</w:t>
            </w:r>
          </w:p>
          <w:p w14:paraId="67ABF432" w14:textId="28CF9179"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cheltuielile directe, cum ar fi deprecierile, decontările, sumele plătite pentru repararea prejudiciilor, penalitățile și dobânzile de întârziere și cheltuielile juridice, din conturile de profit și pierdere ale instituției și reducerile valorii contabile datorate evenimentului de risc operațional, inclusiv:</w:t>
            </w:r>
          </w:p>
          <w:p w14:paraId="5FFD121D" w14:textId="3E0CA9EC"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(i) în cazul în care evenimentul de risc operațional este legat de riscul de piață, costurile aferente lichidării pozițiilor pe piață din cuantumul pierderilor înregistrate pentru elementele de risc operațional;</w:t>
            </w:r>
          </w:p>
          <w:p w14:paraId="22C5DDE4" w14:textId="06DF89D8"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(ii) în cazul în care plățile sunt legate de deficiențe sau de procese inadecvate ale instituției, penalitățile, dobânzile, penalitățile de întârziere, cheltuielile juridice și impozitele, fără a se include cuantumul inițial al impozitului datorat, cu excepția cazului în care cuantumul respectiv este deja inclus la litera (e);</w:t>
            </w:r>
          </w:p>
          <w:p w14:paraId="35BBDFD1" w14:textId="48B7E568"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costurile suportate ca urmare a evenimentului de risc operațional, inclusiv cheltuielile externe care au o legătură directă cu evenimentul de risc operațional și costurile reparațiilor sau ale înlocuirilor efectuate, suportate pentru a restabili situația existentă înainte de producerea evenimentului de risc operațional;</w:t>
            </w:r>
          </w:p>
          <w:p w14:paraId="4DEAE4CE" w14:textId="51E89AA0"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provizioanele sau rezervele contabilizate în conturile de profit și pierdere pentru acoperirea impactului potențial al pierderii operaționale, inclusiv al pierderii rezultate în urma unor evenimente legate de o conduită necorespunzătoare;</w:t>
            </w:r>
          </w:p>
          <w:p w14:paraId="2CA648AD" w14:textId="6380CFC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 pierderile provenite din evenimente de risc operațional cu un impact financiar definitiv, care sunt înregistrate temporar în conturi tranzitorii sau conturi de așteptare și care nu sunt încă recunoscute în contul de profit și pierdere („pierderi latente”);</w:t>
            </w:r>
          </w:p>
          <w:p w14:paraId="3E895EF6" w14:textId="5FAFF576"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(e) impacturile economice negative înregistrate într-un exercițiu financiar care se datorează evenimentelor de risc operațional cu impact asupra fluxurilor de numerar sau a situațiilor financiare aferente exercițiilor financiare anterioare („pierderi temporare”).</w:t>
            </w:r>
          </w:p>
          <w:p w14:paraId="370CDBDC" w14:textId="7777777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În sensul primului paragraf litera (d), pierderile latente semnificative se includ în setul de date privind pierderile într-un termen proporțional cu dimensiunea și vechimea elementului latent.</w:t>
            </w:r>
          </w:p>
          <w:p w14:paraId="79155D59" w14:textId="7C68867B"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În sensul primului paragraf litera (e), instituția include pierderile temporare semnificative în setul de date privind pierderile în cazul în care aceste pierderi se datorează unor evenimente de risc operațional care acoperă o perioadă mai lungă decât un exercițiu financiar. Instituțiile includ în cuantumul pierderii înregistrate pentru elementul de risc operațional într-un exercițiu financiar pierderile datorate corectării erorilor de contabilizare survenite în orice exercițiu financiar anterior, chiar și în cazul în care pierderile respective nu afectează în mod direct părți terțe. În cazul în care există pierderi temporare semnificative și evenimentul de risc operațional afectează direct părți terțe, inclusiv clienți, furnizori și angajați ai instituției, instituția include, de asemenea, retratarea oficială a rapoartelor financiare emise anterior.</w:t>
            </w:r>
          </w:p>
        </w:tc>
        <w:tc>
          <w:tcPr>
            <w:tcW w:w="1588" w:type="pct"/>
            <w:shd w:val="clear" w:color="auto" w:fill="auto"/>
          </w:tcPr>
          <w:p w14:paraId="7FB7994B" w14:textId="4812361D" w:rsidR="00B14BF1" w:rsidRPr="00D96752" w:rsidRDefault="00F2779A" w:rsidP="00B14BF1">
            <w:pPr>
              <w:spacing w:after="0" w:line="276" w:lineRule="auto"/>
              <w:jc w:val="both"/>
              <w:rPr>
                <w:rFonts w:ascii="Times New Roman" w:hAnsi="Times New Roman" w:cs="Times New Roman"/>
                <w:bCs/>
                <w:color w:val="000000" w:themeColor="text1"/>
                <w:lang w:val="ro-MD"/>
              </w:rPr>
            </w:pPr>
            <w:bookmarkStart w:id="42" w:name="_Hlk193370581"/>
            <w:r w:rsidRPr="00D96752">
              <w:rPr>
                <w:rFonts w:ascii="Times New Roman" w:hAnsi="Times New Roman" w:cs="Times New Roman"/>
                <w:bCs/>
                <w:color w:val="000000" w:themeColor="text1"/>
                <w:lang w:val="ro-MD"/>
              </w:rPr>
              <w:lastRenderedPageBreak/>
              <w:t>30</w:t>
            </w:r>
            <w:r w:rsidR="00060A1B"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xml:space="preserve">   În sensul </w:t>
            </w:r>
            <w:r w:rsidR="00060A1B" w:rsidRPr="00D96752">
              <w:rPr>
                <w:rFonts w:ascii="Times New Roman" w:hAnsi="Times New Roman" w:cs="Times New Roman"/>
                <w:bCs/>
                <w:color w:val="000000" w:themeColor="text1"/>
                <w:lang w:val="ro-MD"/>
              </w:rPr>
              <w:t>pct.</w:t>
            </w:r>
            <w:r w:rsidR="002E1983" w:rsidRPr="00D96752">
              <w:rPr>
                <w:rFonts w:ascii="Times New Roman" w:hAnsi="Times New Roman" w:cs="Times New Roman"/>
                <w:bCs/>
                <w:color w:val="000000" w:themeColor="text1"/>
                <w:lang w:val="ro-MD"/>
              </w:rPr>
              <w:t>28</w:t>
            </w:r>
            <w:r w:rsidR="00B14BF1" w:rsidRPr="00D96752">
              <w:rPr>
                <w:rFonts w:ascii="Times New Roman" w:hAnsi="Times New Roman" w:cs="Times New Roman"/>
                <w:bCs/>
                <w:color w:val="000000" w:themeColor="text1"/>
                <w:lang w:val="ro-MD"/>
              </w:rPr>
              <w:t>, în calculul pierderii brute se includ următoarele elemente:</w:t>
            </w:r>
          </w:p>
          <w:p w14:paraId="4180CC4E" w14:textId="523E0A09"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30</w:t>
            </w:r>
            <w:r w:rsidR="00060A1B" w:rsidRPr="00D96752">
              <w:rPr>
                <w:rFonts w:ascii="Times New Roman" w:hAnsi="Times New Roman" w:cs="Times New Roman"/>
                <w:bCs/>
                <w:color w:val="000000" w:themeColor="text1"/>
                <w:lang w:val="ro-MD"/>
              </w:rPr>
              <w:t>.1.</w:t>
            </w:r>
            <w:r w:rsidR="00B14BF1" w:rsidRPr="00D96752">
              <w:rPr>
                <w:rFonts w:ascii="Times New Roman" w:hAnsi="Times New Roman" w:cs="Times New Roman"/>
                <w:bCs/>
                <w:color w:val="000000" w:themeColor="text1"/>
                <w:lang w:val="ro-MD"/>
              </w:rPr>
              <w:t xml:space="preserve"> cheltuielile directe, cum ar fi deprecierile, decontările, sumele plătite pentru repararea prejudiciilor, penalitățile și dobânzile de întârziere și cheltuielile juridice, din conturile de profit și pierdere ale </w:t>
            </w:r>
            <w:r w:rsidR="00060A1B" w:rsidRPr="00D96752">
              <w:rPr>
                <w:rFonts w:ascii="Times New Roman" w:hAnsi="Times New Roman" w:cs="Times New Roman"/>
                <w:bCs/>
                <w:color w:val="000000" w:themeColor="text1"/>
                <w:lang w:val="ro-MD"/>
              </w:rPr>
              <w:t xml:space="preserve">băncii </w:t>
            </w:r>
            <w:r w:rsidR="00B14BF1" w:rsidRPr="00D96752">
              <w:rPr>
                <w:rFonts w:ascii="Times New Roman" w:hAnsi="Times New Roman" w:cs="Times New Roman"/>
                <w:bCs/>
                <w:color w:val="000000" w:themeColor="text1"/>
                <w:lang w:val="ro-MD"/>
              </w:rPr>
              <w:t>și reducerile valorii contabile datorate evenimentului de risc operațional, inclusiv:</w:t>
            </w:r>
          </w:p>
          <w:p w14:paraId="052AA222" w14:textId="3113D3E9"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30</w:t>
            </w:r>
            <w:r w:rsidR="00060A1B" w:rsidRPr="00D96752">
              <w:rPr>
                <w:rFonts w:ascii="Times New Roman" w:hAnsi="Times New Roman" w:cs="Times New Roman"/>
                <w:bCs/>
                <w:color w:val="000000" w:themeColor="text1"/>
                <w:lang w:val="ro-MD"/>
              </w:rPr>
              <w:t>.1.1.</w:t>
            </w:r>
            <w:r w:rsidR="00B14BF1" w:rsidRPr="00D96752">
              <w:rPr>
                <w:rFonts w:ascii="Times New Roman" w:hAnsi="Times New Roman" w:cs="Times New Roman"/>
                <w:bCs/>
                <w:color w:val="000000" w:themeColor="text1"/>
                <w:lang w:val="ro-MD"/>
              </w:rPr>
              <w:t> în cazul în care evenimentul de risc operațional este legat de riscul de piață, costurile aferente lichidării pozițiilor pe piață din cuantumul pierderilor înregistrate pentru elementele de risc operațional;</w:t>
            </w:r>
          </w:p>
          <w:p w14:paraId="4F9AA501" w14:textId="13B618A8"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30</w:t>
            </w:r>
            <w:r w:rsidR="00060A1B" w:rsidRPr="00D96752">
              <w:rPr>
                <w:rFonts w:ascii="Times New Roman" w:hAnsi="Times New Roman" w:cs="Times New Roman"/>
                <w:bCs/>
                <w:color w:val="000000" w:themeColor="text1"/>
                <w:lang w:val="ro-MD"/>
              </w:rPr>
              <w:t>.1.2.</w:t>
            </w:r>
            <w:r w:rsidR="00B14BF1" w:rsidRPr="00D96752">
              <w:rPr>
                <w:rFonts w:ascii="Times New Roman" w:hAnsi="Times New Roman" w:cs="Times New Roman"/>
                <w:bCs/>
                <w:color w:val="000000" w:themeColor="text1"/>
                <w:lang w:val="ro-MD"/>
              </w:rPr>
              <w:t xml:space="preserve"> în cazul în care plățile sunt legate de deficiențe sau de procese inadecvate ale </w:t>
            </w:r>
            <w:r w:rsidR="00060A1B"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 penalitățile, dobânzile, penalitățile de întârziere, cheltuielile juridice și impozitele, fără a se include cuantumul inițial al impozitului datorat, cu excepția cazului în care cuantumul respectiv este deja inclus la</w:t>
            </w:r>
            <w:r w:rsidR="00060A1B" w:rsidRPr="00D96752">
              <w:rPr>
                <w:rFonts w:ascii="Times New Roman" w:hAnsi="Times New Roman" w:cs="Times New Roman"/>
                <w:bCs/>
                <w:color w:val="000000" w:themeColor="text1"/>
                <w:lang w:val="ro-MD"/>
              </w:rPr>
              <w:t>subpct.</w:t>
            </w:r>
            <w:r w:rsidR="00812DFE" w:rsidRPr="00D96752">
              <w:rPr>
                <w:rFonts w:ascii="Times New Roman" w:hAnsi="Times New Roman" w:cs="Times New Roman"/>
                <w:bCs/>
                <w:color w:val="000000" w:themeColor="text1"/>
                <w:lang w:val="ro-MD"/>
              </w:rPr>
              <w:t>30</w:t>
            </w:r>
            <w:r w:rsidR="00060A1B" w:rsidRPr="00D96752">
              <w:rPr>
                <w:rFonts w:ascii="Times New Roman" w:hAnsi="Times New Roman" w:cs="Times New Roman"/>
                <w:bCs/>
                <w:color w:val="000000" w:themeColor="text1"/>
                <w:lang w:val="ro-MD"/>
              </w:rPr>
              <w:t>.5</w:t>
            </w:r>
            <w:r w:rsidR="00B14BF1" w:rsidRPr="00D96752">
              <w:rPr>
                <w:rFonts w:ascii="Times New Roman" w:hAnsi="Times New Roman" w:cs="Times New Roman"/>
                <w:bCs/>
                <w:color w:val="000000" w:themeColor="text1"/>
                <w:lang w:val="ro-MD"/>
              </w:rPr>
              <w:t>;</w:t>
            </w:r>
          </w:p>
          <w:p w14:paraId="7AB8E91B" w14:textId="4BDCA16C"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30</w:t>
            </w:r>
            <w:r w:rsidR="00060A1B" w:rsidRPr="00D96752">
              <w:rPr>
                <w:rFonts w:ascii="Times New Roman" w:hAnsi="Times New Roman" w:cs="Times New Roman"/>
                <w:bCs/>
                <w:color w:val="000000" w:themeColor="text1"/>
                <w:lang w:val="ro-MD"/>
              </w:rPr>
              <w:t>.2.</w:t>
            </w:r>
            <w:r w:rsidR="00B14BF1" w:rsidRPr="00D96752">
              <w:rPr>
                <w:rFonts w:ascii="Times New Roman" w:hAnsi="Times New Roman" w:cs="Times New Roman"/>
                <w:bCs/>
                <w:color w:val="000000" w:themeColor="text1"/>
                <w:lang w:val="ro-MD"/>
              </w:rPr>
              <w:t> costurile suportate ca urmare a evenimentului de risc operațional, inclusiv cheltuielile externe care au o legătură directă cu evenimentul de risc operațional și costurile reparațiilor sau ale înlocuirilor efectuate, suportate pentru a restabili situația existentă înainte de producerea evenimentului de risc operațional;</w:t>
            </w:r>
          </w:p>
          <w:p w14:paraId="22D3B788" w14:textId="58597DEF"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30</w:t>
            </w:r>
            <w:r w:rsidR="00060A1B" w:rsidRPr="00D96752">
              <w:rPr>
                <w:rFonts w:ascii="Times New Roman" w:hAnsi="Times New Roman" w:cs="Times New Roman"/>
                <w:bCs/>
                <w:color w:val="000000" w:themeColor="text1"/>
                <w:lang w:val="ro-MD"/>
              </w:rPr>
              <w:t>.3.</w:t>
            </w:r>
            <w:r w:rsidR="00B14BF1" w:rsidRPr="00D96752">
              <w:rPr>
                <w:rFonts w:ascii="Times New Roman" w:hAnsi="Times New Roman" w:cs="Times New Roman"/>
                <w:bCs/>
                <w:color w:val="000000" w:themeColor="text1"/>
                <w:lang w:val="ro-MD"/>
              </w:rPr>
              <w:t> provizioanele sau rezervele contabilizate în conturile de profit și pierdere pentru acoperirea impactului potențial al pierderii operaționale, inclusiv al pierderii rezultate în urma unor evenimente legate de o conduită necorespunzătoare;</w:t>
            </w:r>
          </w:p>
          <w:p w14:paraId="2F34A6A9" w14:textId="7C410E44"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30</w:t>
            </w:r>
            <w:r w:rsidR="00060A1B" w:rsidRPr="00D96752">
              <w:rPr>
                <w:rFonts w:ascii="Times New Roman" w:hAnsi="Times New Roman" w:cs="Times New Roman"/>
                <w:bCs/>
                <w:color w:val="000000" w:themeColor="text1"/>
                <w:lang w:val="ro-MD"/>
              </w:rPr>
              <w:t>.4.</w:t>
            </w:r>
            <w:r w:rsidR="00B14BF1" w:rsidRPr="00D96752">
              <w:rPr>
                <w:rFonts w:ascii="Times New Roman" w:hAnsi="Times New Roman" w:cs="Times New Roman"/>
                <w:bCs/>
                <w:color w:val="000000" w:themeColor="text1"/>
                <w:lang w:val="ro-MD"/>
              </w:rPr>
              <w:t> pierderile provenite din evenimente de risc operațional cu un impact financiar definitiv, care sunt înregistrate temporar în conturi tranzitorii sau conturi de așteptare și care nu sunt încă recunoscute în contul de profit și pierdere („pierderi latente”);</w:t>
            </w:r>
          </w:p>
          <w:p w14:paraId="11EA7B76" w14:textId="66CD3BBD"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30</w:t>
            </w:r>
            <w:r w:rsidR="00060A1B" w:rsidRPr="00D96752">
              <w:rPr>
                <w:rFonts w:ascii="Times New Roman" w:hAnsi="Times New Roman" w:cs="Times New Roman"/>
                <w:bCs/>
                <w:color w:val="000000" w:themeColor="text1"/>
                <w:lang w:val="ro-MD"/>
              </w:rPr>
              <w:t>.5.</w:t>
            </w:r>
            <w:r w:rsidR="00B14BF1" w:rsidRPr="00D96752">
              <w:rPr>
                <w:rFonts w:ascii="Times New Roman" w:hAnsi="Times New Roman" w:cs="Times New Roman"/>
                <w:bCs/>
                <w:color w:val="000000" w:themeColor="text1"/>
                <w:lang w:val="ro-MD"/>
              </w:rPr>
              <w:t> impacturile economice negative înregistrate într-un exercițiu financiar care se datorează evenimentelor de risc operațional cu impact asupra fluxurilor de numerar sau a situațiilor financiare aferente exercițiilor financiare anterioare („pierderi temporare”).</w:t>
            </w:r>
          </w:p>
          <w:p w14:paraId="6B8F1E14" w14:textId="6A79B75F" w:rsidR="00B14BF1" w:rsidRPr="00D96752" w:rsidRDefault="00060A1B"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1</w:t>
            </w:r>
            <w:r w:rsidRPr="00D96752">
              <w:rPr>
                <w:rFonts w:ascii="Times New Roman" w:hAnsi="Times New Roman" w:cs="Times New Roman"/>
                <w:bCs/>
                <w:color w:val="000000" w:themeColor="text1"/>
                <w:lang w:val="ro-MD"/>
              </w:rPr>
              <w:t xml:space="preserve">. </w:t>
            </w:r>
            <w:r w:rsidR="00B14BF1" w:rsidRPr="00D96752">
              <w:rPr>
                <w:rFonts w:ascii="Times New Roman" w:hAnsi="Times New Roman" w:cs="Times New Roman"/>
                <w:bCs/>
                <w:color w:val="000000" w:themeColor="text1"/>
                <w:lang w:val="ro-MD"/>
              </w:rPr>
              <w:t xml:space="preserve">În sensul </w:t>
            </w:r>
            <w:r w:rsidRPr="00D96752">
              <w:rPr>
                <w:rFonts w:ascii="Times New Roman" w:hAnsi="Times New Roman" w:cs="Times New Roman"/>
                <w:bCs/>
                <w:color w:val="000000" w:themeColor="text1"/>
                <w:lang w:val="ro-MD"/>
              </w:rPr>
              <w:t>subpct.</w:t>
            </w:r>
            <w:r w:rsidR="00812DFE" w:rsidRPr="00D96752">
              <w:rPr>
                <w:rFonts w:ascii="Times New Roman" w:hAnsi="Times New Roman" w:cs="Times New Roman"/>
                <w:bCs/>
                <w:color w:val="000000" w:themeColor="text1"/>
                <w:lang w:val="ro-MD"/>
              </w:rPr>
              <w:t>30</w:t>
            </w:r>
            <w:r w:rsidRPr="00D96752">
              <w:rPr>
                <w:rFonts w:ascii="Times New Roman" w:hAnsi="Times New Roman" w:cs="Times New Roman"/>
                <w:bCs/>
                <w:color w:val="000000" w:themeColor="text1"/>
                <w:lang w:val="ro-MD"/>
              </w:rPr>
              <w:t>.4</w:t>
            </w:r>
            <w:r w:rsidR="00B14BF1" w:rsidRPr="00D96752">
              <w:rPr>
                <w:rFonts w:ascii="Times New Roman" w:hAnsi="Times New Roman" w:cs="Times New Roman"/>
                <w:bCs/>
                <w:color w:val="000000" w:themeColor="text1"/>
                <w:lang w:val="ro-MD"/>
              </w:rPr>
              <w:t>, pierderile latente semnificative se includ în setul de date privind pierderile într-un termen proporțional cu dimensiunea și vechimea elementului latent.</w:t>
            </w:r>
          </w:p>
          <w:p w14:paraId="43AB2095" w14:textId="6FADB64C" w:rsidR="00B14BF1" w:rsidRPr="00D96752" w:rsidRDefault="00060A1B"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2</w:t>
            </w:r>
            <w:r w:rsidRPr="00D96752">
              <w:rPr>
                <w:rFonts w:ascii="Times New Roman" w:hAnsi="Times New Roman" w:cs="Times New Roman"/>
                <w:bCs/>
                <w:color w:val="000000" w:themeColor="text1"/>
                <w:lang w:val="ro-MD"/>
              </w:rPr>
              <w:t xml:space="preserve">. </w:t>
            </w:r>
            <w:r w:rsidR="00B14BF1" w:rsidRPr="00D96752">
              <w:rPr>
                <w:rFonts w:ascii="Times New Roman" w:hAnsi="Times New Roman" w:cs="Times New Roman"/>
                <w:bCs/>
                <w:color w:val="000000" w:themeColor="text1"/>
                <w:lang w:val="ro-MD"/>
              </w:rPr>
              <w:t xml:space="preserve">În sensul </w:t>
            </w:r>
            <w:r w:rsidRPr="00D96752">
              <w:rPr>
                <w:rFonts w:ascii="Times New Roman" w:hAnsi="Times New Roman" w:cs="Times New Roman"/>
                <w:bCs/>
                <w:color w:val="000000" w:themeColor="text1"/>
                <w:lang w:val="ro-MD"/>
              </w:rPr>
              <w:t>subpct.</w:t>
            </w:r>
            <w:r w:rsidR="00812DFE" w:rsidRPr="00D96752">
              <w:rPr>
                <w:rFonts w:ascii="Times New Roman" w:hAnsi="Times New Roman" w:cs="Times New Roman"/>
                <w:bCs/>
                <w:color w:val="000000" w:themeColor="text1"/>
                <w:lang w:val="ro-MD"/>
              </w:rPr>
              <w:t>30</w:t>
            </w:r>
            <w:r w:rsidRPr="00D96752">
              <w:rPr>
                <w:rFonts w:ascii="Times New Roman" w:hAnsi="Times New Roman" w:cs="Times New Roman"/>
                <w:bCs/>
                <w:color w:val="000000" w:themeColor="text1"/>
                <w:lang w:val="ro-MD"/>
              </w:rPr>
              <w:t>.5</w:t>
            </w:r>
            <w:r w:rsidR="00B14BF1"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 xml:space="preserve">banca </w:t>
            </w:r>
            <w:r w:rsidR="00B14BF1" w:rsidRPr="00D96752">
              <w:rPr>
                <w:rFonts w:ascii="Times New Roman" w:hAnsi="Times New Roman" w:cs="Times New Roman"/>
                <w:bCs/>
                <w:color w:val="000000" w:themeColor="text1"/>
                <w:lang w:val="ro-MD"/>
              </w:rPr>
              <w:t xml:space="preserve">include pierderile temporare semnificative în setul de date privind pierderile în cazul în care aceste pierderi se datorează unor evenimente de risc operațional care acoperă o perioadă mai lungă decât un exercițiu financiar. </w:t>
            </w:r>
            <w:r w:rsidR="006767F5" w:rsidRPr="00D96752">
              <w:rPr>
                <w:rFonts w:ascii="Times New Roman" w:hAnsi="Times New Roman" w:cs="Times New Roman"/>
                <w:bCs/>
                <w:color w:val="000000" w:themeColor="text1"/>
                <w:lang w:val="ro-MD"/>
              </w:rPr>
              <w:t xml:space="preserve">Băncile </w:t>
            </w:r>
            <w:r w:rsidR="00B14BF1" w:rsidRPr="00D96752">
              <w:rPr>
                <w:rFonts w:ascii="Times New Roman" w:hAnsi="Times New Roman" w:cs="Times New Roman"/>
                <w:bCs/>
                <w:color w:val="000000" w:themeColor="text1"/>
                <w:lang w:val="ro-MD"/>
              </w:rPr>
              <w:t xml:space="preserve">includ în cuantumul pierderii înregistrate pentru elementul de risc operațional într-un exercițiu financiar pierderile datorate corectării erorilor de contabilizare survenite în orice exercițiu financiar anterior, chiar și în cazul în care pierderile respective nu afectează în mod direct părți terțe. În cazul în care există pierderi temporare semnificative și evenimentul de risc operațional afectează direct părți terțe, inclusiv clienți, furnizori și angajați ai </w:t>
            </w:r>
            <w:r w:rsidR="006767F5"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 xml:space="preserve">, </w:t>
            </w:r>
            <w:r w:rsidR="006767F5" w:rsidRPr="00D96752">
              <w:rPr>
                <w:rFonts w:ascii="Times New Roman" w:hAnsi="Times New Roman" w:cs="Times New Roman"/>
                <w:bCs/>
                <w:color w:val="000000" w:themeColor="text1"/>
                <w:lang w:val="ro-MD"/>
              </w:rPr>
              <w:t xml:space="preserve">banca </w:t>
            </w:r>
            <w:r w:rsidR="00B14BF1" w:rsidRPr="00D96752">
              <w:rPr>
                <w:rFonts w:ascii="Times New Roman" w:hAnsi="Times New Roman" w:cs="Times New Roman"/>
                <w:bCs/>
                <w:color w:val="000000" w:themeColor="text1"/>
                <w:lang w:val="ro-MD"/>
              </w:rPr>
              <w:t>include, de asemenea, retratarea oficială a rapoartelor financiare emise anterior.</w:t>
            </w:r>
            <w:bookmarkEnd w:id="42"/>
          </w:p>
        </w:tc>
        <w:tc>
          <w:tcPr>
            <w:tcW w:w="580" w:type="pct"/>
          </w:tcPr>
          <w:p w14:paraId="170DDAB5" w14:textId="3DC8D5AB" w:rsidR="00B14BF1" w:rsidRPr="00D96752" w:rsidRDefault="006767F5"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098C1EC9"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B14BF1" w:rsidRPr="00D96752" w14:paraId="3B3A0F79"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24AF825A" w14:textId="35D3EE92"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   În sensul alineatului (1), din calculul pierderii brute se exclud următoarele elemente:</w:t>
            </w:r>
          </w:p>
          <w:p w14:paraId="36BCFD4D" w14:textId="1E742A5D"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costurile contractelor de întreținere generală aferente imobilizărilor corporale;</w:t>
            </w:r>
          </w:p>
          <w:p w14:paraId="564754D6" w14:textId="6989E4A9"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cheltuielile interne sau externe menite să consolideze activitatea după pierderile din riscul operațional, inclusiv cheltuielile legate de modernizări, îmbunătățiri, adoptarea de măsuri privind evaluarea riscurilor și consolidarea acestora;</w:t>
            </w:r>
          </w:p>
          <w:p w14:paraId="0EA9C3B7" w14:textId="6B25B65A"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primele de asigurare.</w:t>
            </w:r>
          </w:p>
        </w:tc>
        <w:tc>
          <w:tcPr>
            <w:tcW w:w="1588" w:type="pct"/>
            <w:shd w:val="clear" w:color="auto" w:fill="auto"/>
          </w:tcPr>
          <w:p w14:paraId="4C617461" w14:textId="49B8631A" w:rsidR="00B14BF1" w:rsidRPr="00D96752" w:rsidRDefault="006767F5" w:rsidP="00B14BF1">
            <w:pPr>
              <w:spacing w:after="0" w:line="276" w:lineRule="auto"/>
              <w:jc w:val="both"/>
              <w:rPr>
                <w:rFonts w:ascii="Times New Roman" w:hAnsi="Times New Roman" w:cs="Times New Roman"/>
                <w:bCs/>
                <w:color w:val="000000" w:themeColor="text1"/>
                <w:lang w:val="ro-MD"/>
              </w:rPr>
            </w:pPr>
            <w:bookmarkStart w:id="43" w:name="_Hlk193370636"/>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3</w:t>
            </w:r>
            <w:r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xml:space="preserve">   În sensul </w:t>
            </w:r>
            <w:r w:rsidRPr="00D96752">
              <w:rPr>
                <w:rFonts w:ascii="Times New Roman" w:hAnsi="Times New Roman" w:cs="Times New Roman"/>
                <w:bCs/>
                <w:color w:val="000000" w:themeColor="text1"/>
                <w:lang w:val="ro-MD"/>
              </w:rPr>
              <w:t>pct.2</w:t>
            </w:r>
            <w:r w:rsidR="00812DFE" w:rsidRPr="00D96752">
              <w:rPr>
                <w:rFonts w:ascii="Times New Roman" w:hAnsi="Times New Roman" w:cs="Times New Roman"/>
                <w:bCs/>
                <w:color w:val="000000" w:themeColor="text1"/>
                <w:lang w:val="ro-MD"/>
              </w:rPr>
              <w:t>8</w:t>
            </w:r>
            <w:r w:rsidR="00B14BF1" w:rsidRPr="00D96752">
              <w:rPr>
                <w:rFonts w:ascii="Times New Roman" w:hAnsi="Times New Roman" w:cs="Times New Roman"/>
                <w:bCs/>
                <w:color w:val="000000" w:themeColor="text1"/>
                <w:lang w:val="ro-MD"/>
              </w:rPr>
              <w:t>, din calculul pierderii brute se exclud următoarele elemente:</w:t>
            </w:r>
          </w:p>
          <w:p w14:paraId="51BA94DD" w14:textId="41BEC891" w:rsidR="00B14BF1" w:rsidRPr="00D96752" w:rsidRDefault="006767F5"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3</w:t>
            </w:r>
            <w:r w:rsidRPr="00D96752">
              <w:rPr>
                <w:rFonts w:ascii="Times New Roman" w:hAnsi="Times New Roman" w:cs="Times New Roman"/>
                <w:bCs/>
                <w:color w:val="000000" w:themeColor="text1"/>
                <w:lang w:val="ro-MD"/>
              </w:rPr>
              <w:t>.1.</w:t>
            </w:r>
            <w:r w:rsidR="00B14BF1" w:rsidRPr="00D96752">
              <w:rPr>
                <w:rFonts w:ascii="Times New Roman" w:hAnsi="Times New Roman" w:cs="Times New Roman"/>
                <w:bCs/>
                <w:color w:val="000000" w:themeColor="text1"/>
                <w:lang w:val="ro-MD"/>
              </w:rPr>
              <w:t> costurile contractelor de întreținere generală aferente imobilizărilor corporale;</w:t>
            </w:r>
          </w:p>
          <w:p w14:paraId="7DEDC423" w14:textId="4F2140A3" w:rsidR="00B14BF1" w:rsidRPr="00D96752" w:rsidRDefault="006767F5"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3</w:t>
            </w:r>
            <w:r w:rsidRPr="00D96752">
              <w:rPr>
                <w:rFonts w:ascii="Times New Roman" w:hAnsi="Times New Roman" w:cs="Times New Roman"/>
                <w:bCs/>
                <w:color w:val="000000" w:themeColor="text1"/>
                <w:lang w:val="ro-MD"/>
              </w:rPr>
              <w:t>.2.</w:t>
            </w:r>
            <w:r w:rsidR="00B14BF1" w:rsidRPr="00D96752">
              <w:rPr>
                <w:rFonts w:ascii="Times New Roman" w:hAnsi="Times New Roman" w:cs="Times New Roman"/>
                <w:bCs/>
                <w:color w:val="000000" w:themeColor="text1"/>
                <w:lang w:val="ro-MD"/>
              </w:rPr>
              <w:t> cheltuielile interne sau externe menite să consolideze activitatea după pierderile din riscul operațional, inclusiv cheltuielile legate de modernizări, îmbunătățiri, adoptarea de măsuri privind evaluarea riscurilor și consolidarea acestora;</w:t>
            </w:r>
          </w:p>
          <w:p w14:paraId="21C5EE7E" w14:textId="49B97E83" w:rsidR="00B14BF1" w:rsidRPr="00D96752" w:rsidRDefault="006767F5"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3</w:t>
            </w:r>
            <w:r w:rsidRPr="00D96752">
              <w:rPr>
                <w:rFonts w:ascii="Times New Roman" w:hAnsi="Times New Roman" w:cs="Times New Roman"/>
                <w:bCs/>
                <w:color w:val="000000" w:themeColor="text1"/>
                <w:lang w:val="ro-MD"/>
              </w:rPr>
              <w:t>.3.</w:t>
            </w:r>
            <w:r w:rsidR="00B14BF1" w:rsidRPr="00D96752">
              <w:rPr>
                <w:rFonts w:ascii="Times New Roman" w:hAnsi="Times New Roman" w:cs="Times New Roman"/>
                <w:bCs/>
                <w:color w:val="000000" w:themeColor="text1"/>
                <w:lang w:val="ro-MD"/>
              </w:rPr>
              <w:t> primele de asigurare.</w:t>
            </w:r>
            <w:bookmarkEnd w:id="43"/>
          </w:p>
        </w:tc>
        <w:tc>
          <w:tcPr>
            <w:tcW w:w="580" w:type="pct"/>
          </w:tcPr>
          <w:p w14:paraId="415B154A" w14:textId="6A1DADFD" w:rsidR="00B14BF1" w:rsidRPr="00D96752" w:rsidRDefault="006767F5"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5E4C9697"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B14BF1" w:rsidRPr="00D96752" w14:paraId="08FA8A0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F0FAA4B" w14:textId="6D8DE31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   În sensul alineatului (1), recuperările se utilizează pentru a reduce pierderile brute numai în cazul în care instituția a primit plata. Creanțele nu sunt considerate recuperări.</w:t>
            </w:r>
          </w:p>
          <w:p w14:paraId="4FB4E10C" w14:textId="54EEC724"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La cererea autorității competente, instituția furnizează toată documentația necesară pentru verificarea plăților primite și luate în considerare la calcularea pierderii nete aferente unui eveniment de risc operațional.</w:t>
            </w:r>
          </w:p>
        </w:tc>
        <w:tc>
          <w:tcPr>
            <w:tcW w:w="1588" w:type="pct"/>
            <w:shd w:val="clear" w:color="auto" w:fill="auto"/>
          </w:tcPr>
          <w:p w14:paraId="4CAF2460" w14:textId="38DE17D5" w:rsidR="00B14BF1" w:rsidRPr="00D96752" w:rsidRDefault="006767F5" w:rsidP="00B14BF1">
            <w:pPr>
              <w:spacing w:after="0" w:line="276" w:lineRule="auto"/>
              <w:jc w:val="both"/>
              <w:rPr>
                <w:rFonts w:ascii="Times New Roman" w:hAnsi="Times New Roman" w:cs="Times New Roman"/>
                <w:bCs/>
                <w:color w:val="000000" w:themeColor="text1"/>
                <w:lang w:val="ro-MD"/>
              </w:rPr>
            </w:pPr>
            <w:bookmarkStart w:id="44" w:name="_Hlk193370672"/>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4</w:t>
            </w:r>
            <w:r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În sensul</w:t>
            </w:r>
            <w:r w:rsidRPr="00D96752">
              <w:rPr>
                <w:rFonts w:ascii="Times New Roman" w:hAnsi="Times New Roman" w:cs="Times New Roman"/>
                <w:bCs/>
                <w:color w:val="000000" w:themeColor="text1"/>
                <w:lang w:val="ro-MD"/>
              </w:rPr>
              <w:t>pct.2</w:t>
            </w:r>
            <w:r w:rsidR="00812DFE" w:rsidRPr="00D96752">
              <w:rPr>
                <w:rFonts w:ascii="Times New Roman" w:hAnsi="Times New Roman" w:cs="Times New Roman"/>
                <w:bCs/>
                <w:color w:val="000000" w:themeColor="text1"/>
                <w:lang w:val="ro-MD"/>
              </w:rPr>
              <w:t>8</w:t>
            </w:r>
            <w:r w:rsidR="00B14BF1" w:rsidRPr="00D96752">
              <w:rPr>
                <w:rFonts w:ascii="Times New Roman" w:hAnsi="Times New Roman" w:cs="Times New Roman"/>
                <w:bCs/>
                <w:color w:val="000000" w:themeColor="text1"/>
                <w:lang w:val="ro-MD"/>
              </w:rPr>
              <w:t xml:space="preserve">, recuperările se utilizează pentru a reduce pierderile brute numai în cazul în care </w:t>
            </w:r>
            <w:r w:rsidRPr="00D96752">
              <w:rPr>
                <w:rFonts w:ascii="Times New Roman" w:hAnsi="Times New Roman" w:cs="Times New Roman"/>
                <w:bCs/>
                <w:color w:val="000000" w:themeColor="text1"/>
                <w:lang w:val="ro-MD"/>
              </w:rPr>
              <w:t xml:space="preserve">banca </w:t>
            </w:r>
            <w:r w:rsidR="00B14BF1" w:rsidRPr="00D96752">
              <w:rPr>
                <w:rFonts w:ascii="Times New Roman" w:hAnsi="Times New Roman" w:cs="Times New Roman"/>
                <w:bCs/>
                <w:color w:val="000000" w:themeColor="text1"/>
                <w:lang w:val="ro-MD"/>
              </w:rPr>
              <w:t>a primit plata. Creanțele nu sunt considerate recuperări.</w:t>
            </w:r>
          </w:p>
          <w:p w14:paraId="692A59C1" w14:textId="678CE385" w:rsidR="00B14BF1" w:rsidRPr="00D96752" w:rsidRDefault="006767F5"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5</w:t>
            </w:r>
            <w:r w:rsidRPr="00D96752">
              <w:rPr>
                <w:rFonts w:ascii="Times New Roman" w:hAnsi="Times New Roman" w:cs="Times New Roman"/>
                <w:bCs/>
                <w:color w:val="000000" w:themeColor="text1"/>
                <w:lang w:val="ro-MD"/>
              </w:rPr>
              <w:t xml:space="preserve">. </w:t>
            </w:r>
            <w:r w:rsidR="00B14BF1" w:rsidRPr="00D96752">
              <w:rPr>
                <w:rFonts w:ascii="Times New Roman" w:hAnsi="Times New Roman" w:cs="Times New Roman"/>
                <w:bCs/>
                <w:color w:val="000000" w:themeColor="text1"/>
                <w:lang w:val="ro-MD"/>
              </w:rPr>
              <w:t xml:space="preserve">La cererea </w:t>
            </w:r>
            <w:r w:rsidRPr="00D96752">
              <w:rPr>
                <w:rFonts w:ascii="Times New Roman" w:hAnsi="Times New Roman" w:cs="Times New Roman"/>
                <w:bCs/>
                <w:color w:val="000000" w:themeColor="text1"/>
                <w:lang w:val="ro-MD"/>
              </w:rPr>
              <w:t>BNM</w:t>
            </w:r>
            <w:r w:rsidR="00B14BF1"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 xml:space="preserve">banca </w:t>
            </w:r>
            <w:r w:rsidR="00B14BF1" w:rsidRPr="00D96752">
              <w:rPr>
                <w:rFonts w:ascii="Times New Roman" w:hAnsi="Times New Roman" w:cs="Times New Roman"/>
                <w:bCs/>
                <w:color w:val="000000" w:themeColor="text1"/>
                <w:lang w:val="ro-MD"/>
              </w:rPr>
              <w:t>furnizează toată documentația necesară pentru verificarea plăților primite și luate în considerare la calcularea pierderii nete aferente unui eveniment de risc operațional.</w:t>
            </w:r>
            <w:bookmarkEnd w:id="44"/>
          </w:p>
        </w:tc>
        <w:tc>
          <w:tcPr>
            <w:tcW w:w="580" w:type="pct"/>
          </w:tcPr>
          <w:p w14:paraId="18C23D7F" w14:textId="6519E1D0" w:rsidR="00B14BF1" w:rsidRPr="00D96752" w:rsidRDefault="006767F5"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6EBDF8B1"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B14BF1" w:rsidRPr="00D96752" w14:paraId="1F54A114"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CBA470B" w14:textId="77777777" w:rsidR="00B14BF1" w:rsidRPr="00D96752" w:rsidRDefault="00B14BF1" w:rsidP="00B14BF1">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319</w:t>
            </w:r>
          </w:p>
          <w:p w14:paraId="11445C12" w14:textId="77777777" w:rsidR="00B14BF1" w:rsidRPr="00D96752" w:rsidRDefault="00B14BF1" w:rsidP="00B14BF1">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Pragurile datelor privind pierderile</w:t>
            </w:r>
          </w:p>
          <w:p w14:paraId="703BF56A" w14:textId="1830251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(1)   La calcularea pierderii anuale din riscul operațional menționate la articolul 316 alineatul (1), instituțiile iau în considerare, din setul de date privind pierderile, evenimentele de risc operațional cu o pierdere netă, calculată în conformitate cu </w:t>
            </w:r>
            <w:r w:rsidRPr="00D96752">
              <w:rPr>
                <w:rFonts w:ascii="Times New Roman" w:hAnsi="Times New Roman" w:cs="Times New Roman"/>
                <w:bCs/>
                <w:color w:val="000000" w:themeColor="text1"/>
                <w:lang w:val="ro-MD"/>
              </w:rPr>
              <w:lastRenderedPageBreak/>
              <w:t>articolul 318, care este mai mare sau egală cu 20 000  EUR.</w:t>
            </w:r>
          </w:p>
        </w:tc>
        <w:tc>
          <w:tcPr>
            <w:tcW w:w="1588" w:type="pct"/>
            <w:shd w:val="clear" w:color="auto" w:fill="auto"/>
          </w:tcPr>
          <w:p w14:paraId="4C64E5E5" w14:textId="715C7930" w:rsidR="00B14BF1" w:rsidRPr="00D96752" w:rsidRDefault="00A12CF1" w:rsidP="00B14BF1">
            <w:pPr>
              <w:spacing w:after="0" w:line="276" w:lineRule="auto"/>
              <w:jc w:val="both"/>
              <w:rPr>
                <w:rFonts w:ascii="Times New Roman" w:hAnsi="Times New Roman" w:cs="Times New Roman"/>
                <w:b/>
                <w:bCs/>
                <w:color w:val="000000" w:themeColor="text1"/>
                <w:lang w:val="ro-MD"/>
              </w:rPr>
            </w:pPr>
            <w:bookmarkStart w:id="45" w:name="_Hlk193370850"/>
            <w:r w:rsidRPr="00D96752">
              <w:rPr>
                <w:rFonts w:ascii="Times New Roman" w:hAnsi="Times New Roman" w:cs="Times New Roman"/>
                <w:b/>
                <w:bCs/>
                <w:sz w:val="24"/>
                <w:szCs w:val="24"/>
                <w:lang w:val="it-IT"/>
              </w:rPr>
              <w:lastRenderedPageBreak/>
              <w:t xml:space="preserve">Secțiunea 4. </w:t>
            </w:r>
            <w:r w:rsidR="00B14BF1" w:rsidRPr="00D96752">
              <w:rPr>
                <w:rFonts w:ascii="Times New Roman" w:hAnsi="Times New Roman" w:cs="Times New Roman"/>
                <w:b/>
                <w:bCs/>
                <w:color w:val="000000" w:themeColor="text1"/>
                <w:lang w:val="ro-MD"/>
              </w:rPr>
              <w:t>Pragurile datelor privind pierderile</w:t>
            </w:r>
          </w:p>
          <w:p w14:paraId="4742C97C" w14:textId="53010112" w:rsidR="00B14BF1" w:rsidRPr="00D96752" w:rsidRDefault="00A12C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6</w:t>
            </w:r>
            <w:r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xml:space="preserve">   La calcularea pierderii anuale din riscul operațional menționate la </w:t>
            </w:r>
            <w:r w:rsidRPr="00D96752">
              <w:rPr>
                <w:rFonts w:ascii="Times New Roman" w:hAnsi="Times New Roman" w:cs="Times New Roman"/>
                <w:bCs/>
                <w:color w:val="000000" w:themeColor="text1"/>
                <w:lang w:val="ro-MD"/>
              </w:rPr>
              <w:t>pct.1</w:t>
            </w:r>
            <w:r w:rsidR="004D1A0E" w:rsidRPr="00D96752">
              <w:rPr>
                <w:rFonts w:ascii="Times New Roman" w:hAnsi="Times New Roman" w:cs="Times New Roman"/>
                <w:bCs/>
                <w:color w:val="000000" w:themeColor="text1"/>
                <w:lang w:val="ro-MD"/>
              </w:rPr>
              <w:t>6</w:t>
            </w:r>
            <w:r w:rsidR="00B14BF1"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 xml:space="preserve">băncile </w:t>
            </w:r>
            <w:r w:rsidR="00B14BF1" w:rsidRPr="00D96752">
              <w:rPr>
                <w:rFonts w:ascii="Times New Roman" w:hAnsi="Times New Roman" w:cs="Times New Roman"/>
                <w:bCs/>
                <w:color w:val="000000" w:themeColor="text1"/>
                <w:lang w:val="ro-MD"/>
              </w:rPr>
              <w:t xml:space="preserve">iau în considerare, din setul de date privind pierderile, evenimentele de risc operațional cu o pierdere netă, calculată în conformitate cu </w:t>
            </w:r>
            <w:r w:rsidRPr="00D96752">
              <w:rPr>
                <w:rFonts w:ascii="Times New Roman" w:hAnsi="Times New Roman" w:cs="Times New Roman"/>
                <w:bCs/>
                <w:color w:val="000000" w:themeColor="text1"/>
                <w:lang w:val="ro-MD"/>
              </w:rPr>
              <w:t>secțiunea 3</w:t>
            </w:r>
            <w:r w:rsidR="00B14BF1" w:rsidRPr="00D96752">
              <w:rPr>
                <w:rFonts w:ascii="Times New Roman" w:hAnsi="Times New Roman" w:cs="Times New Roman"/>
                <w:bCs/>
                <w:color w:val="000000" w:themeColor="text1"/>
                <w:lang w:val="ro-MD"/>
              </w:rPr>
              <w:t>, care este mai mare sau egală cu</w:t>
            </w:r>
            <w:r w:rsidR="005F5F47" w:rsidRPr="00D96752">
              <w:rPr>
                <w:lang w:val="it-IT"/>
              </w:rPr>
              <w:t xml:space="preserve"> </w:t>
            </w:r>
            <w:r w:rsidR="00B14BF1" w:rsidRPr="00D96752">
              <w:rPr>
                <w:rFonts w:ascii="Times New Roman" w:hAnsi="Times New Roman" w:cs="Times New Roman"/>
                <w:bCs/>
                <w:color w:val="000000" w:themeColor="text1"/>
                <w:lang w:val="ro-MD"/>
              </w:rPr>
              <w:t>20 000  </w:t>
            </w:r>
            <w:r w:rsidR="00B6783C" w:rsidRPr="00D96752">
              <w:rPr>
                <w:rFonts w:ascii="Times New Roman" w:hAnsi="Times New Roman" w:cs="Times New Roman"/>
                <w:bCs/>
                <w:color w:val="000000" w:themeColor="text1"/>
                <w:lang w:val="ro-MD"/>
              </w:rPr>
              <w:t>lei moldovenești</w:t>
            </w:r>
            <w:r w:rsidR="00B14BF1" w:rsidRPr="00D96752">
              <w:rPr>
                <w:rFonts w:ascii="Times New Roman" w:hAnsi="Times New Roman" w:cs="Times New Roman"/>
                <w:bCs/>
                <w:color w:val="000000" w:themeColor="text1"/>
                <w:lang w:val="ro-MD"/>
              </w:rPr>
              <w:t>.</w:t>
            </w:r>
            <w:bookmarkEnd w:id="45"/>
          </w:p>
        </w:tc>
        <w:tc>
          <w:tcPr>
            <w:tcW w:w="580" w:type="pct"/>
          </w:tcPr>
          <w:p w14:paraId="68387C20" w14:textId="307B7ABD" w:rsidR="00B14BF1" w:rsidRPr="00D96752" w:rsidRDefault="00B6783C"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Parțial</w:t>
            </w:r>
            <w:r w:rsidR="00BC6245" w:rsidRPr="00D96752">
              <w:rPr>
                <w:rFonts w:ascii="Times New Roman" w:hAnsi="Times New Roman" w:cs="Times New Roman"/>
                <w:bCs/>
                <w:color w:val="000000" w:themeColor="text1"/>
                <w:lang w:val="ro-MD"/>
              </w:rPr>
              <w:t xml:space="preserve"> </w:t>
            </w:r>
            <w:r w:rsidR="00792DDA" w:rsidRPr="00D96752">
              <w:rPr>
                <w:rFonts w:ascii="Times New Roman" w:hAnsi="Times New Roman" w:cs="Times New Roman"/>
                <w:bCs/>
                <w:color w:val="000000" w:themeColor="text1"/>
                <w:lang w:val="ro-MD"/>
              </w:rPr>
              <w:t>compatibil</w:t>
            </w:r>
          </w:p>
        </w:tc>
        <w:tc>
          <w:tcPr>
            <w:tcW w:w="1249" w:type="pct"/>
          </w:tcPr>
          <w:p w14:paraId="59FECEE9" w14:textId="3D2A6E2F" w:rsidR="00B14BF1" w:rsidRPr="00D96752" w:rsidRDefault="00B6783C"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Valoarea limitei pierderii nete din riscul operațional a fost ajustată </w:t>
            </w:r>
            <w:r w:rsidR="00B040F5" w:rsidRPr="00D96752">
              <w:rPr>
                <w:rFonts w:ascii="Times New Roman" w:hAnsi="Times New Roman" w:cs="Times New Roman"/>
                <w:bCs/>
                <w:color w:val="000000" w:themeColor="text1"/>
                <w:lang w:val="ro-MD"/>
              </w:rPr>
              <w:t>ținând cont de conjunctura bancară din Republica Moldova</w:t>
            </w:r>
            <w:r w:rsidRPr="00D96752">
              <w:rPr>
                <w:rFonts w:ascii="Times New Roman" w:hAnsi="Times New Roman" w:cs="Times New Roman"/>
                <w:bCs/>
                <w:color w:val="000000" w:themeColor="text1"/>
                <w:lang w:val="ro-MD"/>
              </w:rPr>
              <w:t>.</w:t>
            </w:r>
          </w:p>
        </w:tc>
      </w:tr>
      <w:tr w:rsidR="00B14BF1" w:rsidRPr="00D96752" w14:paraId="7BC08468"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5C7F636" w14:textId="44B3D5E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   Fără a aduce atingere alineatului (1) de la prezentul articol și în sensul articolului 446, instituțiile calculează, de asemenea, pierderea anuală din riscul operațional menționată la articolul 316 alineatul (1), luând în considerare, din setul de date privind pierderile, evenimentele de risc operațional cu o pierdere netă, calculată în conformitate cu articolul 318, care este mai mare sau egală cu 100 000  EUR.</w:t>
            </w:r>
          </w:p>
        </w:tc>
        <w:tc>
          <w:tcPr>
            <w:tcW w:w="1588" w:type="pct"/>
            <w:shd w:val="clear" w:color="auto" w:fill="auto"/>
          </w:tcPr>
          <w:p w14:paraId="533D390D" w14:textId="77BF33D7" w:rsidR="00B14BF1" w:rsidRPr="00D96752" w:rsidRDefault="00A12CF1" w:rsidP="00005AFE">
            <w:pPr>
              <w:spacing w:after="0" w:line="276" w:lineRule="auto"/>
              <w:jc w:val="both"/>
              <w:rPr>
                <w:rFonts w:ascii="Times New Roman" w:hAnsi="Times New Roman" w:cs="Times New Roman"/>
                <w:bCs/>
                <w:color w:val="000000" w:themeColor="text1"/>
                <w:lang w:val="ro-MD"/>
              </w:rPr>
            </w:pPr>
            <w:bookmarkStart w:id="46" w:name="_Hlk193370906"/>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7</w:t>
            </w:r>
            <w:r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xml:space="preserve">   Fără a aduce atingere </w:t>
            </w:r>
            <w:r w:rsidRPr="00D96752">
              <w:rPr>
                <w:rFonts w:ascii="Times New Roman" w:hAnsi="Times New Roman" w:cs="Times New Roman"/>
                <w:bCs/>
                <w:color w:val="000000" w:themeColor="text1"/>
                <w:lang w:val="ro-MD"/>
              </w:rPr>
              <w:t>pct.3</w:t>
            </w:r>
            <w:r w:rsidR="00812DFE" w:rsidRPr="00D96752">
              <w:rPr>
                <w:rFonts w:ascii="Times New Roman" w:hAnsi="Times New Roman" w:cs="Times New Roman"/>
                <w:bCs/>
                <w:color w:val="000000" w:themeColor="text1"/>
                <w:lang w:val="ro-MD"/>
              </w:rPr>
              <w:t>6</w:t>
            </w:r>
            <w:r w:rsidR="00B14BF1" w:rsidRPr="00D96752">
              <w:rPr>
                <w:rFonts w:ascii="Times New Roman" w:hAnsi="Times New Roman" w:cs="Times New Roman"/>
                <w:bCs/>
                <w:color w:val="000000" w:themeColor="text1"/>
                <w:lang w:val="ro-MD"/>
              </w:rPr>
              <w:t xml:space="preserve"> și în sensul </w:t>
            </w:r>
            <w:r w:rsidR="00005AFE" w:rsidRPr="00D96752">
              <w:rPr>
                <w:rFonts w:ascii="Times New Roman" w:hAnsi="Times New Roman" w:cs="Times New Roman"/>
                <w:bCs/>
                <w:color w:val="000000" w:themeColor="text1"/>
                <w:lang w:val="ro-MD"/>
              </w:rPr>
              <w:t xml:space="preserve"> </w:t>
            </w:r>
            <w:r w:rsidR="005F5F47" w:rsidRPr="00D96752">
              <w:rPr>
                <w:rFonts w:ascii="Times New Roman" w:hAnsi="Times New Roman" w:cs="Times New Roman"/>
                <w:bCs/>
                <w:color w:val="000000" w:themeColor="text1"/>
                <w:lang w:val="ro-MD"/>
              </w:rPr>
              <w:t xml:space="preserve">Regulamentului cu privire la </w:t>
            </w:r>
            <w:proofErr w:type="spellStart"/>
            <w:r w:rsidR="005F5F47" w:rsidRPr="00D96752">
              <w:rPr>
                <w:rFonts w:ascii="Times New Roman" w:hAnsi="Times New Roman" w:cs="Times New Roman"/>
                <w:bCs/>
                <w:color w:val="000000" w:themeColor="text1"/>
                <w:lang w:val="ro-MD"/>
              </w:rPr>
              <w:t>cerinţele</w:t>
            </w:r>
            <w:proofErr w:type="spellEnd"/>
            <w:r w:rsidR="005F5F47" w:rsidRPr="00D96752">
              <w:rPr>
                <w:rFonts w:ascii="Times New Roman" w:hAnsi="Times New Roman" w:cs="Times New Roman"/>
                <w:bCs/>
                <w:color w:val="000000" w:themeColor="text1"/>
                <w:lang w:val="ro-MD"/>
              </w:rPr>
              <w:t xml:space="preserve"> de publicare a </w:t>
            </w:r>
            <w:proofErr w:type="spellStart"/>
            <w:r w:rsidR="005F5F47" w:rsidRPr="00D96752">
              <w:rPr>
                <w:rFonts w:ascii="Times New Roman" w:hAnsi="Times New Roman" w:cs="Times New Roman"/>
                <w:bCs/>
                <w:color w:val="000000" w:themeColor="text1"/>
                <w:lang w:val="ro-MD"/>
              </w:rPr>
              <w:t>informaţiilor</w:t>
            </w:r>
            <w:proofErr w:type="spellEnd"/>
            <w:r w:rsidR="005F5F47" w:rsidRPr="00D96752">
              <w:rPr>
                <w:rFonts w:ascii="Times New Roman" w:hAnsi="Times New Roman" w:cs="Times New Roman"/>
                <w:bCs/>
                <w:color w:val="000000" w:themeColor="text1"/>
                <w:lang w:val="ro-MD"/>
              </w:rPr>
              <w:t xml:space="preserve"> de către bănci</w:t>
            </w:r>
            <w:r w:rsidR="00005AFE" w:rsidRPr="00D96752">
              <w:rPr>
                <w:rFonts w:ascii="Times New Roman" w:hAnsi="Times New Roman" w:cs="Times New Roman"/>
                <w:bCs/>
                <w:color w:val="000000" w:themeColor="text1"/>
                <w:lang w:val="ro-MD"/>
              </w:rPr>
              <w:t>, aprobat prin  HCE al BNM nr.</w:t>
            </w:r>
            <w:r w:rsidR="005F5F47" w:rsidRPr="00D96752">
              <w:rPr>
                <w:rFonts w:ascii="Times New Roman" w:hAnsi="Times New Roman" w:cs="Times New Roman"/>
                <w:bCs/>
                <w:color w:val="000000" w:themeColor="text1"/>
                <w:lang w:val="ro-MD"/>
              </w:rPr>
              <w:t>158/2020</w:t>
            </w:r>
            <w:r w:rsidR="00005AFE" w:rsidRPr="00D96752">
              <w:rPr>
                <w:rFonts w:ascii="Times New Roman" w:hAnsi="Times New Roman" w:cs="Times New Roman"/>
                <w:bCs/>
                <w:color w:val="000000" w:themeColor="text1"/>
                <w:lang w:val="ro-MD"/>
              </w:rPr>
              <w:t xml:space="preserve"> băncile </w:t>
            </w:r>
            <w:r w:rsidR="00B14BF1" w:rsidRPr="00D96752">
              <w:rPr>
                <w:rFonts w:ascii="Times New Roman" w:hAnsi="Times New Roman" w:cs="Times New Roman"/>
                <w:bCs/>
                <w:color w:val="000000" w:themeColor="text1"/>
                <w:lang w:val="ro-MD"/>
              </w:rPr>
              <w:t xml:space="preserve">calculează, de asemenea, pierderea anuală din riscul operațional menționată la </w:t>
            </w:r>
            <w:r w:rsidR="00D5251F" w:rsidRPr="00D96752">
              <w:rPr>
                <w:rFonts w:ascii="Times New Roman" w:hAnsi="Times New Roman" w:cs="Times New Roman"/>
                <w:bCs/>
                <w:color w:val="000000" w:themeColor="text1"/>
                <w:lang w:val="ro-MD"/>
              </w:rPr>
              <w:t>pct.1</w:t>
            </w:r>
            <w:r w:rsidR="004D1A0E" w:rsidRPr="00D96752">
              <w:rPr>
                <w:rFonts w:ascii="Times New Roman" w:hAnsi="Times New Roman" w:cs="Times New Roman"/>
                <w:bCs/>
                <w:color w:val="000000" w:themeColor="text1"/>
                <w:lang w:val="ro-MD"/>
              </w:rPr>
              <w:t>6</w:t>
            </w:r>
            <w:r w:rsidR="00B14BF1" w:rsidRPr="00D96752">
              <w:rPr>
                <w:rFonts w:ascii="Times New Roman" w:hAnsi="Times New Roman" w:cs="Times New Roman"/>
                <w:bCs/>
                <w:color w:val="000000" w:themeColor="text1"/>
                <w:lang w:val="ro-MD"/>
              </w:rPr>
              <w:t xml:space="preserve">, luând în considerare, din setul de date privind pierderile, evenimentele de risc operațional cu o pierdere netă, calculată în conformitate cu </w:t>
            </w:r>
            <w:r w:rsidR="00D5251F" w:rsidRPr="00D96752">
              <w:rPr>
                <w:rFonts w:ascii="Times New Roman" w:hAnsi="Times New Roman" w:cs="Times New Roman"/>
                <w:bCs/>
                <w:color w:val="000000" w:themeColor="text1"/>
                <w:lang w:val="ro-MD"/>
              </w:rPr>
              <w:t>secțiunea 3</w:t>
            </w:r>
            <w:r w:rsidR="00B14BF1" w:rsidRPr="00D96752">
              <w:rPr>
                <w:rFonts w:ascii="Times New Roman" w:hAnsi="Times New Roman" w:cs="Times New Roman"/>
                <w:bCs/>
                <w:color w:val="000000" w:themeColor="text1"/>
                <w:lang w:val="ro-MD"/>
              </w:rPr>
              <w:t>, care este mai mare sau egală cu</w:t>
            </w:r>
            <w:r w:rsidR="005F5F47" w:rsidRPr="00D96752">
              <w:rPr>
                <w:lang w:val="it-IT"/>
              </w:rPr>
              <w:t xml:space="preserve"> </w:t>
            </w:r>
            <w:r w:rsidR="00B14BF1" w:rsidRPr="00D96752">
              <w:rPr>
                <w:rFonts w:ascii="Times New Roman" w:hAnsi="Times New Roman" w:cs="Times New Roman"/>
                <w:bCs/>
                <w:color w:val="000000" w:themeColor="text1"/>
                <w:lang w:val="ro-MD"/>
              </w:rPr>
              <w:t>100 000  </w:t>
            </w:r>
            <w:r w:rsidR="00B6783C" w:rsidRPr="00D96752">
              <w:rPr>
                <w:rFonts w:ascii="Times New Roman" w:hAnsi="Times New Roman" w:cs="Times New Roman"/>
                <w:bCs/>
                <w:color w:val="000000" w:themeColor="text1"/>
                <w:lang w:val="ro-MD"/>
              </w:rPr>
              <w:t>lei moldovenești</w:t>
            </w:r>
            <w:r w:rsidR="00B14BF1" w:rsidRPr="00D96752">
              <w:rPr>
                <w:rFonts w:ascii="Times New Roman" w:hAnsi="Times New Roman" w:cs="Times New Roman"/>
                <w:bCs/>
                <w:color w:val="000000" w:themeColor="text1"/>
                <w:lang w:val="ro-MD"/>
              </w:rPr>
              <w:t>.</w:t>
            </w:r>
            <w:bookmarkEnd w:id="46"/>
          </w:p>
        </w:tc>
        <w:tc>
          <w:tcPr>
            <w:tcW w:w="580" w:type="pct"/>
          </w:tcPr>
          <w:p w14:paraId="6EC293D7" w14:textId="001C68FC" w:rsidR="00B14BF1" w:rsidRPr="00D96752" w:rsidRDefault="00B6783C"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Parțial </w:t>
            </w:r>
            <w:r w:rsidR="00792DDA" w:rsidRPr="00D96752">
              <w:rPr>
                <w:rFonts w:ascii="Times New Roman" w:hAnsi="Times New Roman" w:cs="Times New Roman"/>
                <w:bCs/>
                <w:color w:val="000000" w:themeColor="text1"/>
                <w:lang w:val="ro-MD"/>
              </w:rPr>
              <w:t>compatibil</w:t>
            </w:r>
          </w:p>
        </w:tc>
        <w:tc>
          <w:tcPr>
            <w:tcW w:w="1249" w:type="pct"/>
          </w:tcPr>
          <w:p w14:paraId="39AEA36E" w14:textId="18457962" w:rsidR="00B14BF1" w:rsidRPr="00D96752" w:rsidRDefault="00B6783C"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Valoarea limitei pierderii anuale din riscul operațional a fost ajustată </w:t>
            </w:r>
            <w:r w:rsidR="00B040F5" w:rsidRPr="00D96752">
              <w:rPr>
                <w:rFonts w:ascii="Times New Roman" w:hAnsi="Times New Roman" w:cs="Times New Roman"/>
                <w:bCs/>
                <w:color w:val="000000" w:themeColor="text1"/>
                <w:lang w:val="ro-MD"/>
              </w:rPr>
              <w:t>ținând cont de conjunctura bancară din Republica Moldova</w:t>
            </w:r>
            <w:r w:rsidRPr="00D96752">
              <w:rPr>
                <w:rFonts w:ascii="Times New Roman" w:hAnsi="Times New Roman" w:cs="Times New Roman"/>
                <w:bCs/>
                <w:color w:val="000000" w:themeColor="text1"/>
                <w:lang w:val="ro-MD"/>
              </w:rPr>
              <w:t>.</w:t>
            </w:r>
          </w:p>
        </w:tc>
      </w:tr>
      <w:tr w:rsidR="00B14BF1" w:rsidRPr="00D96752" w14:paraId="0A9A5391"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7277E7A" w14:textId="2651595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   În cazul unui eveniment de risc operațional care generează pierderi pe parcursul mai multor exerciții financiare, astfel cum se menționează la articolul 318 alineatul (1) al doilea paragraf, pierderea netă care trebuie luată în considerare pentru pragurile menționate la alineatele (1) și (2) de la prezentul articol este pierderea netă agregată.</w:t>
            </w:r>
          </w:p>
        </w:tc>
        <w:tc>
          <w:tcPr>
            <w:tcW w:w="1588" w:type="pct"/>
            <w:shd w:val="clear" w:color="auto" w:fill="auto"/>
          </w:tcPr>
          <w:p w14:paraId="412C0AA0" w14:textId="16A79A88" w:rsidR="00B14BF1" w:rsidRPr="00D96752" w:rsidRDefault="00021ECF" w:rsidP="00B14BF1">
            <w:pPr>
              <w:spacing w:after="0" w:line="276" w:lineRule="auto"/>
              <w:jc w:val="both"/>
              <w:rPr>
                <w:rFonts w:ascii="Times New Roman" w:hAnsi="Times New Roman" w:cs="Times New Roman"/>
                <w:bCs/>
                <w:color w:val="000000" w:themeColor="text1"/>
                <w:lang w:val="ro-MD"/>
              </w:rPr>
            </w:pPr>
            <w:bookmarkStart w:id="47" w:name="_Hlk193370975"/>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8</w:t>
            </w:r>
            <w:r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xml:space="preserve">   În cazul unui eveniment de risc operațional care generează pierderi pe parcursul mai multor exerciții financiare, astfel cum se menționează la </w:t>
            </w:r>
            <w:r w:rsidRPr="00D96752">
              <w:rPr>
                <w:rFonts w:ascii="Times New Roman" w:hAnsi="Times New Roman" w:cs="Times New Roman"/>
                <w:bCs/>
                <w:color w:val="000000" w:themeColor="text1"/>
                <w:lang w:val="ro-MD"/>
              </w:rPr>
              <w:t>pct.2</w:t>
            </w:r>
            <w:r w:rsidR="00812DFE" w:rsidRPr="00D96752">
              <w:rPr>
                <w:rFonts w:ascii="Times New Roman" w:hAnsi="Times New Roman" w:cs="Times New Roman"/>
                <w:bCs/>
                <w:color w:val="000000" w:themeColor="text1"/>
                <w:lang w:val="ro-MD"/>
              </w:rPr>
              <w:t>9</w:t>
            </w:r>
            <w:r w:rsidR="00B14BF1" w:rsidRPr="00D96752">
              <w:rPr>
                <w:rFonts w:ascii="Times New Roman" w:hAnsi="Times New Roman" w:cs="Times New Roman"/>
                <w:bCs/>
                <w:color w:val="000000" w:themeColor="text1"/>
                <w:lang w:val="ro-MD"/>
              </w:rPr>
              <w:t xml:space="preserve">, pierderea netă care trebuie luată în considerare pentru pragurile menționate la </w:t>
            </w:r>
            <w:r w:rsidRPr="00D96752">
              <w:rPr>
                <w:rFonts w:ascii="Times New Roman" w:hAnsi="Times New Roman" w:cs="Times New Roman"/>
                <w:bCs/>
                <w:color w:val="000000" w:themeColor="text1"/>
                <w:lang w:val="ro-MD"/>
              </w:rPr>
              <w:t>pct.3</w:t>
            </w:r>
            <w:r w:rsidR="00812DFE" w:rsidRPr="00D96752">
              <w:rPr>
                <w:rFonts w:ascii="Times New Roman" w:hAnsi="Times New Roman" w:cs="Times New Roman"/>
                <w:bCs/>
                <w:color w:val="000000" w:themeColor="text1"/>
                <w:lang w:val="ro-MD"/>
              </w:rPr>
              <w:t>6</w:t>
            </w:r>
            <w:r w:rsidR="00B14BF1" w:rsidRPr="00D96752">
              <w:rPr>
                <w:rFonts w:ascii="Times New Roman" w:hAnsi="Times New Roman" w:cs="Times New Roman"/>
                <w:bCs/>
                <w:color w:val="000000" w:themeColor="text1"/>
                <w:lang w:val="ro-MD"/>
              </w:rPr>
              <w:t xml:space="preserve"> și </w:t>
            </w:r>
            <w:r w:rsidRPr="00D96752">
              <w:rPr>
                <w:rFonts w:ascii="Times New Roman" w:hAnsi="Times New Roman" w:cs="Times New Roman"/>
                <w:bCs/>
                <w:color w:val="000000" w:themeColor="text1"/>
                <w:lang w:val="ro-MD"/>
              </w:rPr>
              <w:t>3</w:t>
            </w:r>
            <w:r w:rsidR="00812DFE" w:rsidRPr="00D96752">
              <w:rPr>
                <w:rFonts w:ascii="Times New Roman" w:hAnsi="Times New Roman" w:cs="Times New Roman"/>
                <w:bCs/>
                <w:color w:val="000000" w:themeColor="text1"/>
                <w:lang w:val="ro-MD"/>
              </w:rPr>
              <w:t>7</w:t>
            </w:r>
            <w:r w:rsidR="00B14BF1" w:rsidRPr="00D96752">
              <w:rPr>
                <w:rFonts w:ascii="Times New Roman" w:hAnsi="Times New Roman" w:cs="Times New Roman"/>
                <w:bCs/>
                <w:color w:val="000000" w:themeColor="text1"/>
                <w:lang w:val="ro-MD"/>
              </w:rPr>
              <w:t xml:space="preserve"> este pierderea netă agregată.</w:t>
            </w:r>
            <w:bookmarkEnd w:id="47"/>
          </w:p>
        </w:tc>
        <w:tc>
          <w:tcPr>
            <w:tcW w:w="580" w:type="pct"/>
          </w:tcPr>
          <w:p w14:paraId="51A08327" w14:textId="6031FAC8" w:rsidR="00B14BF1" w:rsidRPr="00D96752" w:rsidRDefault="00792DDA"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15D43FA5"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B14BF1" w:rsidRPr="00D96752" w14:paraId="23AC3FB2"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C9A1B5E" w14:textId="3F741246" w:rsidR="00B14BF1" w:rsidRPr="00D96752" w:rsidRDefault="00B14BF1" w:rsidP="00B14BF1">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320</w:t>
            </w:r>
          </w:p>
          <w:p w14:paraId="3F18E44D" w14:textId="77777777" w:rsidR="00B14BF1" w:rsidRPr="00D96752" w:rsidRDefault="00B14BF1" w:rsidP="00B14BF1">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Excluderea pierderilor</w:t>
            </w:r>
          </w:p>
          <w:p w14:paraId="1A0327F1" w14:textId="0B971E5A"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(1)   O instituție poate solicita autorității competente aprobarea de a exclude din calculul pierderii sale anuale din riscul operațional evenimentele excepționale de risc operațional care nu mai sunt </w:t>
            </w:r>
            <w:r w:rsidRPr="00D96752">
              <w:rPr>
                <w:rFonts w:ascii="Times New Roman" w:hAnsi="Times New Roman" w:cs="Times New Roman"/>
                <w:bCs/>
                <w:color w:val="000000" w:themeColor="text1"/>
                <w:lang w:val="ro-MD"/>
              </w:rPr>
              <w:lastRenderedPageBreak/>
              <w:t>relevante pentru profilul de risc al instituției, dacă sunt îndeplinite toate condițiile următoare:</w:t>
            </w:r>
          </w:p>
          <w:p w14:paraId="16AF4C37" w14:textId="62EDEE61"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instituția poate demonstra, într-un mod considerat satisfăcător de autoritatea competentă, că cauza evenimentului de risc operațional care a generat pierderile respective din riscul operațional nu se va mai reproduce;</w:t>
            </w:r>
          </w:p>
          <w:p w14:paraId="7CA04EC6" w14:textId="5CDEEF1B"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pierderea netă agregată din evenimentul de risc operațional corespunzător este:</w:t>
            </w:r>
          </w:p>
          <w:p w14:paraId="367C0DDB" w14:textId="6F87BFEA"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 fie mai mare sau egală cu 10 % din pierderea medie anuală din riscul operațional a instituției, calculată pentru ultimele 10 exerciții financiare și pe baza pragului menționat la articolul 319 alineatul (1), în cazul în care evenimentul de pierdere din riscul operațional se referă la activități care fac încă parte din indicatorul de activitate;</w:t>
            </w:r>
          </w:p>
          <w:p w14:paraId="50512308" w14:textId="45DA5D6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(ii) fie legată de un eveniment de risc operațional care se referă la activități cesionate care nu mai sunt incluse în indicatorul de activitate în conformitate cu articolul 315 alineatul (2);</w:t>
            </w:r>
          </w:p>
          <w:p w14:paraId="17BFB1C3" w14:textId="3264DCE8"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pierderea din riscul operațional a fost inclusă în baza de date privind pierderile pentru o perioadă minimă de un an, cu excepția cazului în care pierderea din riscul operațional este legată de activități cesionate care nu mai sunt incluse în indicatorul de activitate în conformitate cu articolul 315 alineatul (2).</w:t>
            </w:r>
          </w:p>
          <w:p w14:paraId="148A339D" w14:textId="627B78C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În sensul primului paragraf litera (c) de la prezentul alineat, perioada minimă de un an începe de la data la care evenimentul de risc operațional, inclus în setul de date privind pierderile, a depășit pentru prima oară pragul de semnificație prevăzut la articolul 319 alineatul (1).</w:t>
            </w:r>
          </w:p>
        </w:tc>
        <w:tc>
          <w:tcPr>
            <w:tcW w:w="1588" w:type="pct"/>
            <w:shd w:val="clear" w:color="auto" w:fill="auto"/>
          </w:tcPr>
          <w:p w14:paraId="02F13054" w14:textId="262FE8B2" w:rsidR="00B14BF1" w:rsidRPr="00D96752" w:rsidRDefault="00792DDA" w:rsidP="00B14BF1">
            <w:pPr>
              <w:spacing w:after="0" w:line="276" w:lineRule="auto"/>
              <w:jc w:val="both"/>
              <w:rPr>
                <w:rFonts w:ascii="Times New Roman" w:hAnsi="Times New Roman" w:cs="Times New Roman"/>
                <w:b/>
                <w:bCs/>
                <w:color w:val="000000" w:themeColor="text1"/>
                <w:lang w:val="ro-MD"/>
              </w:rPr>
            </w:pPr>
            <w:bookmarkStart w:id="48" w:name="_Hlk193371014"/>
            <w:r w:rsidRPr="00D96752">
              <w:rPr>
                <w:rFonts w:ascii="Times New Roman" w:hAnsi="Times New Roman" w:cs="Times New Roman"/>
                <w:b/>
                <w:bCs/>
                <w:color w:val="000000" w:themeColor="text1"/>
                <w:lang w:val="ro-MD"/>
              </w:rPr>
              <w:lastRenderedPageBreak/>
              <w:t xml:space="preserve">Secțiunea 5. </w:t>
            </w:r>
            <w:r w:rsidR="00B14BF1" w:rsidRPr="00D96752">
              <w:rPr>
                <w:rFonts w:ascii="Times New Roman" w:hAnsi="Times New Roman" w:cs="Times New Roman"/>
                <w:b/>
                <w:bCs/>
                <w:color w:val="000000" w:themeColor="text1"/>
                <w:lang w:val="ro-MD"/>
              </w:rPr>
              <w:t>Excluderea pierderilor</w:t>
            </w:r>
          </w:p>
          <w:p w14:paraId="79D7ADB3" w14:textId="30178B97" w:rsidR="00B14BF1" w:rsidRPr="00D96752" w:rsidRDefault="00792DD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w:t>
            </w:r>
            <w:r w:rsidR="00B14BF1" w:rsidRPr="00D96752">
              <w:rPr>
                <w:rFonts w:ascii="Times New Roman" w:hAnsi="Times New Roman" w:cs="Times New Roman"/>
                <w:bCs/>
                <w:color w:val="000000" w:themeColor="text1"/>
                <w:lang w:val="ro-MD"/>
              </w:rPr>
              <w:t xml:space="preserve">   O </w:t>
            </w:r>
            <w:r w:rsidRPr="00D96752">
              <w:rPr>
                <w:rFonts w:ascii="Times New Roman" w:hAnsi="Times New Roman" w:cs="Times New Roman"/>
                <w:bCs/>
                <w:color w:val="000000" w:themeColor="text1"/>
                <w:lang w:val="ro-MD"/>
              </w:rPr>
              <w:t xml:space="preserve">bancă </w:t>
            </w:r>
            <w:r w:rsidR="00B14BF1" w:rsidRPr="00D96752">
              <w:rPr>
                <w:rFonts w:ascii="Times New Roman" w:hAnsi="Times New Roman" w:cs="Times New Roman"/>
                <w:bCs/>
                <w:color w:val="000000" w:themeColor="text1"/>
                <w:lang w:val="ro-MD"/>
              </w:rPr>
              <w:t xml:space="preserve">poate solicita </w:t>
            </w:r>
            <w:r w:rsidRPr="00D96752">
              <w:rPr>
                <w:rFonts w:ascii="Times New Roman" w:hAnsi="Times New Roman" w:cs="Times New Roman"/>
                <w:bCs/>
                <w:color w:val="000000" w:themeColor="text1"/>
                <w:lang w:val="ro-MD"/>
              </w:rPr>
              <w:t>BNM</w:t>
            </w:r>
            <w:r w:rsidR="00B14BF1" w:rsidRPr="00D96752">
              <w:rPr>
                <w:rFonts w:ascii="Times New Roman" w:hAnsi="Times New Roman" w:cs="Times New Roman"/>
                <w:bCs/>
                <w:color w:val="000000" w:themeColor="text1"/>
                <w:lang w:val="ro-MD"/>
              </w:rPr>
              <w:t xml:space="preserve"> aprobarea </w:t>
            </w:r>
            <w:r w:rsidR="00D01157" w:rsidRPr="00D96752">
              <w:rPr>
                <w:rFonts w:ascii="Times New Roman" w:hAnsi="Times New Roman" w:cs="Times New Roman"/>
                <w:bCs/>
                <w:color w:val="000000" w:themeColor="text1"/>
                <w:lang w:val="ro-MD"/>
              </w:rPr>
              <w:t xml:space="preserve">prealabilă </w:t>
            </w:r>
            <w:r w:rsidR="00B14BF1" w:rsidRPr="00D96752">
              <w:rPr>
                <w:rFonts w:ascii="Times New Roman" w:hAnsi="Times New Roman" w:cs="Times New Roman"/>
                <w:bCs/>
                <w:color w:val="000000" w:themeColor="text1"/>
                <w:lang w:val="ro-MD"/>
              </w:rPr>
              <w:t xml:space="preserve">de a exclude din calculul pierderii sale anuale din riscul operațional evenimentele excepționale de risc operațional care nu mai sunt relevante pentru profilul de risc al </w:t>
            </w:r>
            <w:r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 dacă sunt îndeplinite toate condițiile următoare:</w:t>
            </w:r>
          </w:p>
          <w:p w14:paraId="622FAC28" w14:textId="412103A2" w:rsidR="00B14BF1" w:rsidRPr="00D96752" w:rsidRDefault="00792DD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3</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.1.</w:t>
            </w:r>
            <w:r w:rsidR="00B14BF1" w:rsidRPr="00D96752">
              <w:rPr>
                <w:rFonts w:ascii="Times New Roman" w:hAnsi="Times New Roman" w:cs="Times New Roman"/>
                <w:bCs/>
                <w:color w:val="000000" w:themeColor="text1"/>
                <w:lang w:val="ro-MD"/>
              </w:rPr>
              <w:t> </w:t>
            </w:r>
            <w:r w:rsidRPr="00D96752">
              <w:rPr>
                <w:rFonts w:ascii="Times New Roman" w:hAnsi="Times New Roman" w:cs="Times New Roman"/>
                <w:bCs/>
                <w:color w:val="000000" w:themeColor="text1"/>
                <w:lang w:val="ro-MD"/>
              </w:rPr>
              <w:t xml:space="preserve">banca </w:t>
            </w:r>
            <w:r w:rsidR="00B14BF1" w:rsidRPr="00D96752">
              <w:rPr>
                <w:rFonts w:ascii="Times New Roman" w:hAnsi="Times New Roman" w:cs="Times New Roman"/>
                <w:bCs/>
                <w:color w:val="000000" w:themeColor="text1"/>
                <w:lang w:val="ro-MD"/>
              </w:rPr>
              <w:t xml:space="preserve">poate demonstra, într-un mod considerat satisfăcător de </w:t>
            </w:r>
            <w:r w:rsidRPr="00D96752">
              <w:rPr>
                <w:rFonts w:ascii="Times New Roman" w:hAnsi="Times New Roman" w:cs="Times New Roman"/>
                <w:bCs/>
                <w:color w:val="000000" w:themeColor="text1"/>
                <w:lang w:val="ro-MD"/>
              </w:rPr>
              <w:t>BNM</w:t>
            </w:r>
            <w:r w:rsidR="00B14BF1" w:rsidRPr="00D96752">
              <w:rPr>
                <w:rFonts w:ascii="Times New Roman" w:hAnsi="Times New Roman" w:cs="Times New Roman"/>
                <w:bCs/>
                <w:color w:val="000000" w:themeColor="text1"/>
                <w:lang w:val="ro-MD"/>
              </w:rPr>
              <w:t>, că cauza evenimentului de risc operațional care a generat pierderile respective din riscul operațional nu se va mai reproduce;</w:t>
            </w:r>
          </w:p>
          <w:p w14:paraId="59EC5C50" w14:textId="2A952C14" w:rsidR="00B14BF1" w:rsidRPr="00D96752" w:rsidRDefault="00792DD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.2.</w:t>
            </w:r>
            <w:r w:rsidR="00B14BF1" w:rsidRPr="00D96752">
              <w:rPr>
                <w:rFonts w:ascii="Times New Roman" w:hAnsi="Times New Roman" w:cs="Times New Roman"/>
                <w:bCs/>
                <w:color w:val="000000" w:themeColor="text1"/>
                <w:lang w:val="ro-MD"/>
              </w:rPr>
              <w:t> pierderea netă agregată din evenimentul de risc operațional corespunzător este:</w:t>
            </w:r>
          </w:p>
          <w:p w14:paraId="5B9E4479" w14:textId="72480AA0" w:rsidR="00B14BF1" w:rsidRPr="00D96752" w:rsidRDefault="00792DD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w:t>
            </w:r>
            <w:r w:rsidR="00F2779A" w:rsidRPr="00D96752">
              <w:rPr>
                <w:rFonts w:ascii="Times New Roman" w:hAnsi="Times New Roman" w:cs="Times New Roman"/>
                <w:bCs/>
                <w:color w:val="000000" w:themeColor="text1"/>
                <w:lang w:val="ro-MD"/>
              </w:rPr>
              <w:t>9</w:t>
            </w:r>
            <w:r w:rsidRPr="00D96752">
              <w:rPr>
                <w:rFonts w:ascii="Times New Roman" w:hAnsi="Times New Roman" w:cs="Times New Roman"/>
                <w:bCs/>
                <w:color w:val="000000" w:themeColor="text1"/>
                <w:lang w:val="ro-MD"/>
              </w:rPr>
              <w:t>.2.1.</w:t>
            </w:r>
            <w:r w:rsidR="00B14BF1" w:rsidRPr="00D96752">
              <w:rPr>
                <w:rFonts w:ascii="Times New Roman" w:hAnsi="Times New Roman" w:cs="Times New Roman"/>
                <w:bCs/>
                <w:color w:val="000000" w:themeColor="text1"/>
                <w:lang w:val="ro-MD"/>
              </w:rPr>
              <w:t> fie mai mare sau egală cu 10 % din pierderea medie anuală din riscul operațional a </w:t>
            </w:r>
            <w:r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 xml:space="preserve">, calculată pentru ultimele 10 exerciții financiare și pe baza pragului menționat la </w:t>
            </w:r>
            <w:r w:rsidR="00F2779A" w:rsidRPr="00D96752">
              <w:rPr>
                <w:rFonts w:ascii="Times New Roman" w:hAnsi="Times New Roman" w:cs="Times New Roman"/>
                <w:bCs/>
                <w:color w:val="000000" w:themeColor="text1"/>
                <w:lang w:val="ro-MD"/>
              </w:rPr>
              <w:t>pct.3</w:t>
            </w:r>
            <w:r w:rsidR="00812DFE" w:rsidRPr="00D96752">
              <w:rPr>
                <w:rFonts w:ascii="Times New Roman" w:hAnsi="Times New Roman" w:cs="Times New Roman"/>
                <w:bCs/>
                <w:color w:val="000000" w:themeColor="text1"/>
                <w:lang w:val="ro-MD"/>
              </w:rPr>
              <w:t>6</w:t>
            </w:r>
            <w:r w:rsidR="00B14BF1" w:rsidRPr="00D96752">
              <w:rPr>
                <w:rFonts w:ascii="Times New Roman" w:hAnsi="Times New Roman" w:cs="Times New Roman"/>
                <w:bCs/>
                <w:color w:val="000000" w:themeColor="text1"/>
                <w:lang w:val="ro-MD"/>
              </w:rPr>
              <w:t>, în cazul în care evenimentul de pierdere din riscul operațional se referă la activități care fac încă parte din indicatorul de activitate;</w:t>
            </w:r>
          </w:p>
          <w:p w14:paraId="61B5C6DF" w14:textId="53C9FD5E"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39.2.2. </w:t>
            </w:r>
            <w:r w:rsidR="00B14BF1" w:rsidRPr="00D96752">
              <w:rPr>
                <w:rFonts w:ascii="Times New Roman" w:hAnsi="Times New Roman" w:cs="Times New Roman"/>
                <w:bCs/>
                <w:color w:val="000000" w:themeColor="text1"/>
                <w:lang w:val="ro-MD"/>
              </w:rPr>
              <w:t xml:space="preserve"> fie legată de un eveniment de risc operațional care se referă la activități cesionate care nu mai sunt incluse în indicatorul de activitate în conformitate cu </w:t>
            </w:r>
            <w:r w:rsidR="00812DFE" w:rsidRPr="00D96752">
              <w:rPr>
                <w:rFonts w:ascii="Times New Roman" w:hAnsi="Times New Roman" w:cs="Times New Roman"/>
                <w:bCs/>
                <w:color w:val="000000" w:themeColor="text1"/>
                <w:lang w:val="ro-MD"/>
              </w:rPr>
              <w:t>pct.15</w:t>
            </w:r>
            <w:r w:rsidR="00B14BF1" w:rsidRPr="00D96752">
              <w:rPr>
                <w:rFonts w:ascii="Times New Roman" w:hAnsi="Times New Roman" w:cs="Times New Roman"/>
                <w:bCs/>
                <w:color w:val="000000" w:themeColor="text1"/>
                <w:lang w:val="ro-MD"/>
              </w:rPr>
              <w:t>;</w:t>
            </w:r>
          </w:p>
          <w:p w14:paraId="159B4EF4" w14:textId="235FAAD9" w:rsidR="00B14BF1" w:rsidRPr="00D96752" w:rsidRDefault="00F2779A"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39.3.</w:t>
            </w:r>
            <w:r w:rsidR="00B14BF1" w:rsidRPr="00D96752">
              <w:rPr>
                <w:rFonts w:ascii="Times New Roman" w:hAnsi="Times New Roman" w:cs="Times New Roman"/>
                <w:bCs/>
                <w:color w:val="000000" w:themeColor="text1"/>
                <w:lang w:val="ro-MD"/>
              </w:rPr>
              <w:t xml:space="preserve"> pierderea din riscul operațional a fost inclusă în baza de date privind pierderile pentru o perioadă minimă de un an, cu excepția cazului în care pierderea din riscul operațional este legată de activități cesionate care nu mai sunt incluse în indicatorul de activitate în conformitate cu </w:t>
            </w:r>
            <w:r w:rsidRPr="00D96752">
              <w:rPr>
                <w:rFonts w:ascii="Times New Roman" w:hAnsi="Times New Roman" w:cs="Times New Roman"/>
                <w:bCs/>
                <w:color w:val="000000" w:themeColor="text1"/>
                <w:lang w:val="ro-MD"/>
              </w:rPr>
              <w:t>pct.15</w:t>
            </w:r>
            <w:r w:rsidR="00B14BF1" w:rsidRPr="00D96752">
              <w:rPr>
                <w:rFonts w:ascii="Times New Roman" w:hAnsi="Times New Roman" w:cs="Times New Roman"/>
                <w:bCs/>
                <w:color w:val="000000" w:themeColor="text1"/>
                <w:lang w:val="ro-MD"/>
              </w:rPr>
              <w:t>.</w:t>
            </w:r>
          </w:p>
          <w:p w14:paraId="14EADAD7" w14:textId="6E51D069" w:rsidR="00B14BF1" w:rsidRPr="00D96752" w:rsidRDefault="00812DFE"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40. </w:t>
            </w:r>
            <w:r w:rsidR="00B14BF1" w:rsidRPr="00D96752">
              <w:rPr>
                <w:rFonts w:ascii="Times New Roman" w:hAnsi="Times New Roman" w:cs="Times New Roman"/>
                <w:bCs/>
                <w:color w:val="000000" w:themeColor="text1"/>
                <w:lang w:val="ro-MD"/>
              </w:rPr>
              <w:t xml:space="preserve">În sensul </w:t>
            </w:r>
            <w:r w:rsidR="004D1A0E" w:rsidRPr="00D96752">
              <w:rPr>
                <w:rFonts w:ascii="Times New Roman" w:hAnsi="Times New Roman" w:cs="Times New Roman"/>
                <w:bCs/>
                <w:color w:val="000000" w:themeColor="text1"/>
                <w:lang w:val="ro-MD"/>
              </w:rPr>
              <w:t>subpct.39.3</w:t>
            </w:r>
            <w:r w:rsidR="00B14BF1" w:rsidRPr="00D96752">
              <w:rPr>
                <w:rFonts w:ascii="Times New Roman" w:hAnsi="Times New Roman" w:cs="Times New Roman"/>
                <w:bCs/>
                <w:color w:val="000000" w:themeColor="text1"/>
                <w:lang w:val="ro-MD"/>
              </w:rPr>
              <w:t xml:space="preserve">, perioada minimă de un an începe de la data la care evenimentul de risc operațional, inclus în setul de date privind pierderile, </w:t>
            </w:r>
            <w:r w:rsidR="00B14BF1" w:rsidRPr="00D96752">
              <w:rPr>
                <w:rFonts w:ascii="Times New Roman" w:hAnsi="Times New Roman" w:cs="Times New Roman"/>
                <w:bCs/>
                <w:color w:val="000000" w:themeColor="text1"/>
                <w:lang w:val="ro-MD"/>
              </w:rPr>
              <w:lastRenderedPageBreak/>
              <w:t xml:space="preserve">a depășit pentru prima oară pragul de semnificație prevăzut la </w:t>
            </w:r>
            <w:r w:rsidRPr="00D96752">
              <w:rPr>
                <w:rFonts w:ascii="Times New Roman" w:hAnsi="Times New Roman" w:cs="Times New Roman"/>
                <w:bCs/>
                <w:color w:val="000000" w:themeColor="text1"/>
                <w:lang w:val="ro-MD"/>
              </w:rPr>
              <w:t>pct.36</w:t>
            </w:r>
            <w:r w:rsidR="00B14BF1" w:rsidRPr="00D96752">
              <w:rPr>
                <w:rFonts w:ascii="Times New Roman" w:hAnsi="Times New Roman" w:cs="Times New Roman"/>
                <w:bCs/>
                <w:color w:val="000000" w:themeColor="text1"/>
                <w:lang w:val="ro-MD"/>
              </w:rPr>
              <w:t>.</w:t>
            </w:r>
            <w:bookmarkEnd w:id="48"/>
          </w:p>
        </w:tc>
        <w:tc>
          <w:tcPr>
            <w:tcW w:w="580" w:type="pct"/>
          </w:tcPr>
          <w:p w14:paraId="10DA248E" w14:textId="26737ED5" w:rsidR="00B14BF1" w:rsidRPr="00D96752" w:rsidRDefault="00707DAF"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1BB902C7"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B14BF1" w:rsidRPr="00D96752" w14:paraId="27976232"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292439E" w14:textId="67647D78"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(2)   O instituție care solicită aprobarea menționată la alineatul (1) îi transmite autorității competente justificări documentate pentru excluderea unui eveniment excepțional de risc operațional, inclusiv:</w:t>
            </w:r>
          </w:p>
          <w:p w14:paraId="4302C131" w14:textId="152E60E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 o descriere a evenimentului de risc operațional;</w:t>
            </w:r>
          </w:p>
          <w:p w14:paraId="1498C490" w14:textId="2F483E82"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dovada că pierderea cauzată de evenimentul de risc operațional depășește pragul de semnificație pentru excluderea pierderilor menționat la alineatul (1) litera (b) punctul (i), inclusiv data la care evenimentul de risc operațional respectiv a depășit pragul de semnificație;</w:t>
            </w:r>
          </w:p>
          <w:p w14:paraId="41F65634" w14:textId="0192CABC"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data la care evenimentul de risc operațional în cauză ar fi exclus, având în vedere perioada minimă de includere prevăzută la alineatul (1) litera (c);</w:t>
            </w:r>
          </w:p>
          <w:p w14:paraId="554C6191" w14:textId="7778490A"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 motivul pentru care evenimentul de risc operațional nu mai este considerat relevant pentru profilul de risc al instituției;</w:t>
            </w:r>
          </w:p>
          <w:p w14:paraId="58149A65" w14:textId="5C96EE0F"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(e) demonstrarea faptului că nu există expuneri legale similare sau reziduale și că evenimentul de risc </w:t>
            </w:r>
            <w:r w:rsidRPr="00D96752">
              <w:rPr>
                <w:rFonts w:ascii="Times New Roman" w:hAnsi="Times New Roman" w:cs="Times New Roman"/>
                <w:bCs/>
                <w:color w:val="000000" w:themeColor="text1"/>
                <w:lang w:val="ro-MD"/>
              </w:rPr>
              <w:lastRenderedPageBreak/>
              <w:t>operațional care urmează să fie exclus nu are nicio relevanță pentru alte activități sau produse;</w:t>
            </w:r>
          </w:p>
          <w:p w14:paraId="61029886" w14:textId="25378A58"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 rapoarte privind analiza sau validarea independentă a instituției, care să confirme că evenimentul de risc operațional nu mai este relevant și că nu există expuneri legale similare sau reziduale;</w:t>
            </w:r>
          </w:p>
          <w:p w14:paraId="580B3E36" w14:textId="5EC32417"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(g) dovada că organele competente ale instituției au aprobat, în cadrul proceselor de aprobare ale instituției, cererea de excludere a evenimentului de risc operațional și data acestei aprobări;</w:t>
            </w:r>
          </w:p>
          <w:p w14:paraId="6C35928A" w14:textId="30862AAA" w:rsidR="00B14BF1" w:rsidRPr="00D96752" w:rsidRDefault="00B14BF1"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(h) impactul excluderii evenimentului de risc operațional asupra pierderii anuale din riscul operațional.</w:t>
            </w:r>
          </w:p>
        </w:tc>
        <w:tc>
          <w:tcPr>
            <w:tcW w:w="1588" w:type="pct"/>
            <w:shd w:val="clear" w:color="auto" w:fill="auto"/>
          </w:tcPr>
          <w:p w14:paraId="1D05890A" w14:textId="340BA7DF" w:rsidR="00B14BF1" w:rsidRPr="00D96752" w:rsidRDefault="00812DFE" w:rsidP="00B14BF1">
            <w:pPr>
              <w:spacing w:after="0" w:line="276" w:lineRule="auto"/>
              <w:jc w:val="both"/>
              <w:rPr>
                <w:rFonts w:ascii="Times New Roman" w:hAnsi="Times New Roman" w:cs="Times New Roman"/>
                <w:bCs/>
                <w:color w:val="000000" w:themeColor="text1"/>
                <w:lang w:val="ro-MD"/>
              </w:rPr>
            </w:pPr>
            <w:bookmarkStart w:id="49" w:name="_Hlk193371065"/>
            <w:r w:rsidRPr="00D96752">
              <w:rPr>
                <w:rFonts w:ascii="Times New Roman" w:hAnsi="Times New Roman" w:cs="Times New Roman"/>
                <w:bCs/>
                <w:color w:val="000000" w:themeColor="text1"/>
                <w:lang w:val="ro-MD"/>
              </w:rPr>
              <w:lastRenderedPageBreak/>
              <w:t>41.</w:t>
            </w:r>
            <w:r w:rsidR="00B14BF1" w:rsidRPr="00D96752">
              <w:rPr>
                <w:rFonts w:ascii="Times New Roman" w:hAnsi="Times New Roman" w:cs="Times New Roman"/>
                <w:bCs/>
                <w:color w:val="000000" w:themeColor="text1"/>
                <w:lang w:val="ro-MD"/>
              </w:rPr>
              <w:t xml:space="preserve">   O </w:t>
            </w:r>
            <w:r w:rsidRPr="00D96752">
              <w:rPr>
                <w:rFonts w:ascii="Times New Roman" w:hAnsi="Times New Roman" w:cs="Times New Roman"/>
                <w:bCs/>
                <w:color w:val="000000" w:themeColor="text1"/>
                <w:lang w:val="ro-MD"/>
              </w:rPr>
              <w:t xml:space="preserve">bancă </w:t>
            </w:r>
            <w:r w:rsidR="00B14BF1" w:rsidRPr="00D96752">
              <w:rPr>
                <w:rFonts w:ascii="Times New Roman" w:hAnsi="Times New Roman" w:cs="Times New Roman"/>
                <w:bCs/>
                <w:color w:val="000000" w:themeColor="text1"/>
                <w:lang w:val="ro-MD"/>
              </w:rPr>
              <w:t xml:space="preserve">care solicită aprobarea menționată la </w:t>
            </w:r>
            <w:r w:rsidRPr="00D96752">
              <w:rPr>
                <w:rFonts w:ascii="Times New Roman" w:hAnsi="Times New Roman" w:cs="Times New Roman"/>
                <w:bCs/>
                <w:color w:val="000000" w:themeColor="text1"/>
                <w:lang w:val="ro-MD"/>
              </w:rPr>
              <w:t>pct.39</w:t>
            </w:r>
            <w:r w:rsidR="00B14BF1" w:rsidRPr="00D96752">
              <w:rPr>
                <w:rFonts w:ascii="Times New Roman" w:hAnsi="Times New Roman" w:cs="Times New Roman"/>
                <w:bCs/>
                <w:color w:val="000000" w:themeColor="text1"/>
                <w:lang w:val="ro-MD"/>
              </w:rPr>
              <w:t xml:space="preserve"> îi transmite </w:t>
            </w:r>
            <w:r w:rsidRPr="00D96752">
              <w:rPr>
                <w:rFonts w:ascii="Times New Roman" w:hAnsi="Times New Roman" w:cs="Times New Roman"/>
                <w:bCs/>
                <w:color w:val="000000" w:themeColor="text1"/>
                <w:lang w:val="ro-MD"/>
              </w:rPr>
              <w:t>BNM</w:t>
            </w:r>
            <w:r w:rsidR="00B14BF1" w:rsidRPr="00D96752">
              <w:rPr>
                <w:rFonts w:ascii="Times New Roman" w:hAnsi="Times New Roman" w:cs="Times New Roman"/>
                <w:bCs/>
                <w:color w:val="000000" w:themeColor="text1"/>
                <w:lang w:val="ro-MD"/>
              </w:rPr>
              <w:t xml:space="preserve"> justificări documentate pentru excluderea unui eveniment excepțional de risc operațional, inclusiv:</w:t>
            </w:r>
          </w:p>
          <w:p w14:paraId="786705E5" w14:textId="3E33D600" w:rsidR="00B14BF1" w:rsidRPr="00D96752" w:rsidRDefault="00812DFE"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41.1.</w:t>
            </w:r>
            <w:r w:rsidR="00B14BF1" w:rsidRPr="00D96752">
              <w:rPr>
                <w:rFonts w:ascii="Times New Roman" w:hAnsi="Times New Roman" w:cs="Times New Roman"/>
                <w:bCs/>
                <w:color w:val="000000" w:themeColor="text1"/>
                <w:lang w:val="ro-MD"/>
              </w:rPr>
              <w:t> o descriere a evenimentului de risc operațional;</w:t>
            </w:r>
          </w:p>
          <w:p w14:paraId="235A1B0E" w14:textId="1D711CC3" w:rsidR="00B14BF1" w:rsidRPr="00D96752" w:rsidRDefault="005A67F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41.2.</w:t>
            </w:r>
            <w:r w:rsidR="00B14BF1" w:rsidRPr="00D96752">
              <w:rPr>
                <w:rFonts w:ascii="Times New Roman" w:hAnsi="Times New Roman" w:cs="Times New Roman"/>
                <w:bCs/>
                <w:color w:val="000000" w:themeColor="text1"/>
                <w:lang w:val="ro-MD"/>
              </w:rPr>
              <w:t xml:space="preserve"> dovada că pierderea cauzată de evenimentul de risc operațional depășește pragul de semnificație pentru excluderea pierderilor menționat la </w:t>
            </w:r>
            <w:r w:rsidRPr="00D96752">
              <w:rPr>
                <w:rFonts w:ascii="Times New Roman" w:hAnsi="Times New Roman" w:cs="Times New Roman"/>
                <w:bCs/>
                <w:color w:val="000000" w:themeColor="text1"/>
                <w:lang w:val="ro-MD"/>
              </w:rPr>
              <w:t xml:space="preserve">subpct.39.2.1 </w:t>
            </w:r>
            <w:r w:rsidR="00B14BF1" w:rsidRPr="00D96752">
              <w:rPr>
                <w:rFonts w:ascii="Times New Roman" w:hAnsi="Times New Roman" w:cs="Times New Roman"/>
                <w:bCs/>
                <w:color w:val="000000" w:themeColor="text1"/>
                <w:lang w:val="ro-MD"/>
              </w:rPr>
              <w:t>, inclusiv data la care evenimentul de risc operațional respectiv a depășit pragul de semnificație;</w:t>
            </w:r>
          </w:p>
          <w:p w14:paraId="52CC9B1C" w14:textId="37B9975F" w:rsidR="00B14BF1" w:rsidRPr="00D96752" w:rsidRDefault="005A67F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41.3.</w:t>
            </w:r>
            <w:r w:rsidR="00B14BF1" w:rsidRPr="00D96752">
              <w:rPr>
                <w:rFonts w:ascii="Times New Roman" w:hAnsi="Times New Roman" w:cs="Times New Roman"/>
                <w:bCs/>
                <w:color w:val="000000" w:themeColor="text1"/>
                <w:lang w:val="ro-MD"/>
              </w:rPr>
              <w:t xml:space="preserve"> data la care evenimentul de risc operațional în cauză ar fi exclus, având în vedere perioada minimă de includere prevăzută la </w:t>
            </w:r>
            <w:r w:rsidRPr="00D96752">
              <w:rPr>
                <w:rFonts w:ascii="Times New Roman" w:hAnsi="Times New Roman" w:cs="Times New Roman"/>
                <w:bCs/>
                <w:color w:val="000000" w:themeColor="text1"/>
                <w:lang w:val="ro-MD"/>
              </w:rPr>
              <w:t>subpct.39.3</w:t>
            </w:r>
            <w:r w:rsidR="00B14BF1" w:rsidRPr="00D96752">
              <w:rPr>
                <w:rFonts w:ascii="Times New Roman" w:hAnsi="Times New Roman" w:cs="Times New Roman"/>
                <w:bCs/>
                <w:color w:val="000000" w:themeColor="text1"/>
                <w:lang w:val="ro-MD"/>
              </w:rPr>
              <w:t>;</w:t>
            </w:r>
          </w:p>
          <w:p w14:paraId="0E6775C3" w14:textId="67119F3F" w:rsidR="00B14BF1" w:rsidRPr="00D96752" w:rsidRDefault="005A67F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41.4.</w:t>
            </w:r>
            <w:r w:rsidR="00B14BF1" w:rsidRPr="00D96752">
              <w:rPr>
                <w:rFonts w:ascii="Times New Roman" w:hAnsi="Times New Roman" w:cs="Times New Roman"/>
                <w:bCs/>
                <w:color w:val="000000" w:themeColor="text1"/>
                <w:lang w:val="ro-MD"/>
              </w:rPr>
              <w:t xml:space="preserve"> motivul pentru care evenimentul de risc operațional nu mai este considerat relevant pentru profilul de risc al </w:t>
            </w:r>
            <w:r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w:t>
            </w:r>
          </w:p>
          <w:p w14:paraId="321D8598" w14:textId="2A1715D2" w:rsidR="00B14BF1" w:rsidRPr="00D96752" w:rsidRDefault="005A67F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41.5.</w:t>
            </w:r>
            <w:r w:rsidR="00B14BF1" w:rsidRPr="00D96752">
              <w:rPr>
                <w:rFonts w:ascii="Times New Roman" w:hAnsi="Times New Roman" w:cs="Times New Roman"/>
                <w:bCs/>
                <w:color w:val="000000" w:themeColor="text1"/>
                <w:lang w:val="ro-MD"/>
              </w:rPr>
              <w:t> demonstrarea faptului că nu există expuneri legale similare sau reziduale și că evenimentul de risc operațional care urmează să fie exclus nu are nicio relevanță pentru alte activități sau produse;</w:t>
            </w:r>
          </w:p>
          <w:p w14:paraId="319AE432" w14:textId="4C8B521B" w:rsidR="00B14BF1" w:rsidRPr="00D96752" w:rsidRDefault="005A67F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41.6.</w:t>
            </w:r>
            <w:r w:rsidR="00B14BF1" w:rsidRPr="00D96752">
              <w:rPr>
                <w:rFonts w:ascii="Times New Roman" w:hAnsi="Times New Roman" w:cs="Times New Roman"/>
                <w:bCs/>
                <w:color w:val="000000" w:themeColor="text1"/>
                <w:lang w:val="ro-MD"/>
              </w:rPr>
              <w:t> rapoarte privind analiza sau validarea independentă a </w:t>
            </w:r>
            <w:r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 care să confirme că evenimentul de risc operațional nu mai este relevant și că nu există expuneri legale similare sau reziduale;</w:t>
            </w:r>
          </w:p>
          <w:p w14:paraId="1E31330C" w14:textId="5C587C18" w:rsidR="00B14BF1" w:rsidRPr="00D96752" w:rsidRDefault="005A67F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41.7.</w:t>
            </w:r>
            <w:r w:rsidR="00B14BF1" w:rsidRPr="00D96752">
              <w:rPr>
                <w:rFonts w:ascii="Times New Roman" w:hAnsi="Times New Roman" w:cs="Times New Roman"/>
                <w:bCs/>
                <w:color w:val="000000" w:themeColor="text1"/>
                <w:lang w:val="ro-MD"/>
              </w:rPr>
              <w:t xml:space="preserve"> dovada că organele competente ale </w:t>
            </w:r>
            <w:r w:rsidRPr="00D96752">
              <w:rPr>
                <w:rFonts w:ascii="Times New Roman" w:hAnsi="Times New Roman" w:cs="Times New Roman"/>
                <w:bCs/>
                <w:color w:val="000000" w:themeColor="text1"/>
                <w:lang w:val="ro-MD"/>
              </w:rPr>
              <w:t xml:space="preserve">băncii </w:t>
            </w:r>
            <w:r w:rsidR="00B14BF1" w:rsidRPr="00D96752">
              <w:rPr>
                <w:rFonts w:ascii="Times New Roman" w:hAnsi="Times New Roman" w:cs="Times New Roman"/>
                <w:bCs/>
                <w:color w:val="000000" w:themeColor="text1"/>
                <w:lang w:val="ro-MD"/>
              </w:rPr>
              <w:t xml:space="preserve">au aprobat, în cadrul proceselor de aprobare ale </w:t>
            </w:r>
            <w:r w:rsidRPr="00D96752">
              <w:rPr>
                <w:rFonts w:ascii="Times New Roman" w:hAnsi="Times New Roman" w:cs="Times New Roman"/>
                <w:bCs/>
                <w:color w:val="000000" w:themeColor="text1"/>
                <w:lang w:val="ro-MD"/>
              </w:rPr>
              <w:t>băncii</w:t>
            </w:r>
            <w:r w:rsidR="00B14BF1" w:rsidRPr="00D96752">
              <w:rPr>
                <w:rFonts w:ascii="Times New Roman" w:hAnsi="Times New Roman" w:cs="Times New Roman"/>
                <w:bCs/>
                <w:color w:val="000000" w:themeColor="text1"/>
                <w:lang w:val="ro-MD"/>
              </w:rPr>
              <w:t>, cererea de excludere a evenimentului de risc operațional și data acestei aprobări;</w:t>
            </w:r>
          </w:p>
          <w:p w14:paraId="5E43B38A" w14:textId="499D9017" w:rsidR="00B14BF1" w:rsidRPr="00D96752" w:rsidRDefault="00707DAF" w:rsidP="00B14BF1">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41.8.</w:t>
            </w:r>
            <w:r w:rsidR="00B14BF1" w:rsidRPr="00D96752">
              <w:rPr>
                <w:rFonts w:ascii="Times New Roman" w:hAnsi="Times New Roman" w:cs="Times New Roman"/>
                <w:bCs/>
                <w:color w:val="000000" w:themeColor="text1"/>
                <w:lang w:val="ro-MD"/>
              </w:rPr>
              <w:t> impactul excluderii evenimentului de risc operațional asupra pierderii anuale din riscul operațional.</w:t>
            </w:r>
            <w:bookmarkEnd w:id="49"/>
          </w:p>
        </w:tc>
        <w:tc>
          <w:tcPr>
            <w:tcW w:w="580" w:type="pct"/>
          </w:tcPr>
          <w:p w14:paraId="664B9544" w14:textId="4B22CC45" w:rsidR="00B14BF1" w:rsidRPr="00D96752" w:rsidRDefault="00707DAF" w:rsidP="00B14BF1">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7CAA2D43" w14:textId="77777777" w:rsidR="00B14BF1" w:rsidRPr="00D96752" w:rsidRDefault="00B14BF1" w:rsidP="00B14BF1">
            <w:pPr>
              <w:spacing w:line="276" w:lineRule="auto"/>
              <w:jc w:val="both"/>
              <w:rPr>
                <w:rFonts w:ascii="Times New Roman" w:hAnsi="Times New Roman" w:cs="Times New Roman"/>
                <w:bCs/>
                <w:color w:val="000000" w:themeColor="text1"/>
                <w:lang w:val="ro-MD"/>
              </w:rPr>
            </w:pPr>
          </w:p>
        </w:tc>
      </w:tr>
      <w:tr w:rsidR="00707DAF" w:rsidRPr="00D96752" w14:paraId="73E1CF4C"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330D89F7" w14:textId="549601B8"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(3)   ABE elaborează proiecte de standarde tehnice de reglementare pentru a preciza condițiile pe care autoritatea competentă trebuie să le evalueze în temeiul alineatului (1), inclusiv modul în care urmează să fie calculată pierderea medie anuală din riscul operațional și specificațiile privind informațiile care trebuie colectate în temeiul alineatului (2) sau orice alte informații suplimentare considerate necesare pentru efectuarea evaluării.</w:t>
            </w:r>
          </w:p>
          <w:p w14:paraId="29729708" w14:textId="77777777"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2027.</w:t>
            </w:r>
          </w:p>
          <w:p w14:paraId="5FCA65A0" w14:textId="19CCCC75"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Se deleagă Comisiei competența de a completa prezentul regulament prin adoptarea standardelor </w:t>
            </w:r>
            <w:r w:rsidRPr="00D96752">
              <w:rPr>
                <w:rFonts w:ascii="Times New Roman" w:hAnsi="Times New Roman" w:cs="Times New Roman"/>
                <w:bCs/>
                <w:color w:val="000000" w:themeColor="text1"/>
                <w:lang w:val="ro-MD"/>
              </w:rPr>
              <w:lastRenderedPageBreak/>
              <w:t>tehnice de reglementare menționate la primul paragraf de la prezentul alineat în conformitate cu articolele 10-14 din Regulamentul (UE) nr. 1093/2010.</w:t>
            </w:r>
          </w:p>
        </w:tc>
        <w:tc>
          <w:tcPr>
            <w:tcW w:w="1588" w:type="pct"/>
            <w:shd w:val="clear" w:color="auto" w:fill="auto"/>
          </w:tcPr>
          <w:p w14:paraId="72A9A39B" w14:textId="283906F1" w:rsidR="00707DAF" w:rsidRPr="00D96752" w:rsidRDefault="00707DAF" w:rsidP="00707DAF">
            <w:pPr>
              <w:spacing w:after="0" w:line="276" w:lineRule="auto"/>
              <w:jc w:val="both"/>
              <w:rPr>
                <w:rFonts w:ascii="Times New Roman" w:hAnsi="Times New Roman" w:cs="Times New Roman"/>
                <w:bCs/>
                <w:color w:val="000000" w:themeColor="text1"/>
                <w:lang w:val="ro-MD"/>
              </w:rPr>
            </w:pPr>
          </w:p>
        </w:tc>
        <w:tc>
          <w:tcPr>
            <w:tcW w:w="580" w:type="pct"/>
          </w:tcPr>
          <w:p w14:paraId="70F67481" w14:textId="7910808E" w:rsidR="00707DAF" w:rsidRPr="00D96752" w:rsidRDefault="00707DAF"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39E07B2A" w14:textId="0920D308" w:rsidR="00707DAF" w:rsidRPr="00D96752" w:rsidRDefault="00707DAF"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707DAF" w:rsidRPr="00D96752" w14:paraId="2F980A48"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0ABA0F64" w14:textId="77777777" w:rsidR="00707DAF" w:rsidRPr="00D96752" w:rsidRDefault="00707DAF" w:rsidP="00707DAF">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321</w:t>
            </w:r>
          </w:p>
          <w:p w14:paraId="1EED1C70" w14:textId="77777777" w:rsidR="00707DAF" w:rsidRPr="00D96752" w:rsidRDefault="00707DAF" w:rsidP="00707DAF">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Includerea pierderilor de la entități sau activități fuzionate sau achiziționate</w:t>
            </w:r>
          </w:p>
          <w:p w14:paraId="2F99AC08" w14:textId="74946DEF"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Pierderile care provin de la entități sau activități fuzionate sau achiziționate se includ în setul de date privind pierderile de îndată ce elementele indicatorului de activitate legate de respectivele entități sau activități sunt incluse în calculul indicatorului de activitate al instituției, în conformitate cu articolul 315 alineatul (1). În acest scop, instituțiile includ pierderile observate în cursul unei perioade de 10 ani înainte de achiziție sau fuziune.</w:t>
            </w:r>
          </w:p>
        </w:tc>
        <w:tc>
          <w:tcPr>
            <w:tcW w:w="1588" w:type="pct"/>
            <w:shd w:val="clear" w:color="auto" w:fill="auto"/>
          </w:tcPr>
          <w:p w14:paraId="6C84B2DC" w14:textId="64D80C22" w:rsidR="00707DAF" w:rsidRPr="00D96752" w:rsidRDefault="00707DAF" w:rsidP="00707DAF">
            <w:pPr>
              <w:spacing w:after="0" w:line="276" w:lineRule="auto"/>
              <w:jc w:val="both"/>
              <w:rPr>
                <w:rFonts w:ascii="Times New Roman" w:hAnsi="Times New Roman" w:cs="Times New Roman"/>
                <w:b/>
                <w:bCs/>
                <w:color w:val="000000" w:themeColor="text1"/>
                <w:lang w:val="ro-MD"/>
              </w:rPr>
            </w:pPr>
            <w:bookmarkStart w:id="50" w:name="_Hlk193371098"/>
            <w:r w:rsidRPr="00D96752">
              <w:rPr>
                <w:rFonts w:ascii="Times New Roman" w:hAnsi="Times New Roman" w:cs="Times New Roman"/>
                <w:b/>
                <w:bCs/>
                <w:color w:val="000000" w:themeColor="text1"/>
                <w:lang w:val="ro-MD"/>
              </w:rPr>
              <w:t>Secțiunea 6.Includerea pierderilor de la entități sau activități fuzionate sau achiziționate</w:t>
            </w:r>
          </w:p>
          <w:p w14:paraId="35698CCB" w14:textId="365ECC3C"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42.   Pierderile care provin de la entități sau activități fuzionate sau achiziționate se includ în setul de date privind pierderile de îndată ce elementele indicatorului de activitate legate de respectivele entități sau activități sunt incluse în calculul indicatorului de activitate al băncii, în conformitate cu</w:t>
            </w:r>
            <w:r w:rsidR="001F5B60"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t>pct.14. În acest scop, băncile includ pierderile observate în cursul unei perioade de 10 ani înainte de achiziție sau fuziune.</w:t>
            </w:r>
            <w:bookmarkEnd w:id="50"/>
          </w:p>
        </w:tc>
        <w:tc>
          <w:tcPr>
            <w:tcW w:w="580" w:type="pct"/>
          </w:tcPr>
          <w:p w14:paraId="2D4B1214" w14:textId="12B060FB" w:rsidR="00707DAF" w:rsidRPr="00D96752" w:rsidRDefault="00707DAF"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340143EF" w14:textId="77777777" w:rsidR="00707DAF" w:rsidRPr="00D96752" w:rsidRDefault="00707DAF" w:rsidP="00707DAF">
            <w:pPr>
              <w:spacing w:line="276" w:lineRule="auto"/>
              <w:jc w:val="both"/>
              <w:rPr>
                <w:rFonts w:ascii="Times New Roman" w:hAnsi="Times New Roman" w:cs="Times New Roman"/>
                <w:bCs/>
                <w:color w:val="000000" w:themeColor="text1"/>
                <w:lang w:val="ro-MD"/>
              </w:rPr>
            </w:pPr>
          </w:p>
        </w:tc>
      </w:tr>
      <w:tr w:rsidR="00707DAF" w:rsidRPr="00D96752" w14:paraId="1114D36D"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CC338D6" w14:textId="177029C7"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   ABE elaborează proiecte de standarde tehnice de reglementare pentru a preciza modul în care instituțiile trebuie să determine ajustările setului lor de date privind pierderile în urma includerii pierderilor de la entități sau activități fuzionate sau achiziționate, astfel cum se menționează la alineatul (1).</w:t>
            </w:r>
          </w:p>
          <w:p w14:paraId="08682038" w14:textId="77777777"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2027.</w:t>
            </w:r>
          </w:p>
          <w:p w14:paraId="73797483" w14:textId="44FF78B5"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Se deleagă Comisiei competența de a completa prezentul regulament prin adoptarea standardelor tehnice de reglementare menționate la primul paragraf </w:t>
            </w:r>
            <w:r w:rsidRPr="00D96752">
              <w:rPr>
                <w:rFonts w:ascii="Times New Roman" w:hAnsi="Times New Roman" w:cs="Times New Roman"/>
                <w:bCs/>
                <w:color w:val="000000" w:themeColor="text1"/>
                <w:lang w:val="ro-MD"/>
              </w:rPr>
              <w:lastRenderedPageBreak/>
              <w:t>de la prezentul alineat în conformitate cu articolele 10-14 din Regulamentul (UE) nr. 1093/2010.</w:t>
            </w:r>
          </w:p>
        </w:tc>
        <w:tc>
          <w:tcPr>
            <w:tcW w:w="1588" w:type="pct"/>
            <w:shd w:val="clear" w:color="auto" w:fill="auto"/>
          </w:tcPr>
          <w:p w14:paraId="1577CCC3" w14:textId="011960F4" w:rsidR="00707DAF" w:rsidRPr="00D96752" w:rsidRDefault="00707DAF" w:rsidP="00707DAF">
            <w:pPr>
              <w:spacing w:after="0" w:line="276" w:lineRule="auto"/>
              <w:jc w:val="both"/>
              <w:rPr>
                <w:rFonts w:ascii="Times New Roman" w:hAnsi="Times New Roman" w:cs="Times New Roman"/>
                <w:bCs/>
                <w:color w:val="000000" w:themeColor="text1"/>
                <w:lang w:val="ro-MD"/>
              </w:rPr>
            </w:pPr>
          </w:p>
        </w:tc>
        <w:tc>
          <w:tcPr>
            <w:tcW w:w="580" w:type="pct"/>
          </w:tcPr>
          <w:p w14:paraId="2FF72264" w14:textId="2B8A57C5" w:rsidR="00707DAF" w:rsidRPr="00D96752" w:rsidRDefault="00707DAF"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36EF3018" w14:textId="7555F6A8" w:rsidR="00707DAF" w:rsidRPr="00D96752" w:rsidRDefault="00707DAF"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707DAF" w:rsidRPr="00D96752" w14:paraId="4257E5AE"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8E1DFC8" w14:textId="77777777" w:rsidR="00707DAF" w:rsidRPr="00D96752" w:rsidRDefault="00707DAF" w:rsidP="00707DAF">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322</w:t>
            </w:r>
          </w:p>
          <w:p w14:paraId="2C52B37B" w14:textId="77777777" w:rsidR="00707DAF" w:rsidRPr="00D96752" w:rsidRDefault="00707DAF" w:rsidP="00707DAF">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Exhaustivitatea, exactitatea și calitatea datelor privind pierderile</w:t>
            </w:r>
          </w:p>
          <w:p w14:paraId="5CD5098C" w14:textId="4562834F"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Instituțiile dispun de organizarea și de procesele necesare pentru a asigura exhaustivitatea, exactitatea și calitatea datelor privind pierderile și pentru a supune aceste date unei examinări independente.</w:t>
            </w:r>
          </w:p>
        </w:tc>
        <w:tc>
          <w:tcPr>
            <w:tcW w:w="1588" w:type="pct"/>
            <w:shd w:val="clear" w:color="auto" w:fill="auto"/>
          </w:tcPr>
          <w:p w14:paraId="7DCD55EE" w14:textId="02829F9B" w:rsidR="00707DAF" w:rsidRPr="00D96752" w:rsidRDefault="00707DAF" w:rsidP="00707DAF">
            <w:pPr>
              <w:spacing w:after="0" w:line="276" w:lineRule="auto"/>
              <w:jc w:val="both"/>
              <w:rPr>
                <w:rFonts w:ascii="Times New Roman" w:hAnsi="Times New Roman" w:cs="Times New Roman"/>
                <w:b/>
                <w:bCs/>
                <w:color w:val="000000" w:themeColor="text1"/>
                <w:lang w:val="ro-MD"/>
              </w:rPr>
            </w:pPr>
            <w:bookmarkStart w:id="51" w:name="_Hlk193371144"/>
            <w:r w:rsidRPr="00D96752">
              <w:rPr>
                <w:rFonts w:ascii="Times New Roman" w:hAnsi="Times New Roman" w:cs="Times New Roman"/>
                <w:b/>
                <w:bCs/>
                <w:color w:val="000000" w:themeColor="text1"/>
                <w:lang w:val="ro-MD"/>
              </w:rPr>
              <w:t>Secțiunea 7.</w:t>
            </w:r>
            <w:r w:rsidRPr="00D96752" w:rsidDel="00707DAF">
              <w:rPr>
                <w:rFonts w:ascii="Times New Roman" w:hAnsi="Times New Roman" w:cs="Times New Roman"/>
                <w:bCs/>
                <w:i/>
                <w:iCs/>
                <w:color w:val="000000" w:themeColor="text1"/>
                <w:lang w:val="ro-MD"/>
              </w:rPr>
              <w:t xml:space="preserve"> </w:t>
            </w:r>
            <w:r w:rsidRPr="00D96752">
              <w:rPr>
                <w:rFonts w:ascii="Times New Roman" w:hAnsi="Times New Roman" w:cs="Times New Roman"/>
                <w:b/>
                <w:bCs/>
                <w:color w:val="000000" w:themeColor="text1"/>
                <w:lang w:val="ro-MD"/>
              </w:rPr>
              <w:t>Exhaustivitatea, exactitatea și calitatea datelor privind pierderile</w:t>
            </w:r>
          </w:p>
          <w:p w14:paraId="73DC204A" w14:textId="53D6B206"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43.   Băncile dispun de organizarea și de procesele necesare pentru a asigura exhaustivitatea, exactitatea și calitatea datelor privind pierderile și pentru a supune aceste date unei examinări independente.</w:t>
            </w:r>
            <w:bookmarkEnd w:id="51"/>
          </w:p>
        </w:tc>
        <w:tc>
          <w:tcPr>
            <w:tcW w:w="580" w:type="pct"/>
          </w:tcPr>
          <w:p w14:paraId="5ECFAE51" w14:textId="72ECC31F" w:rsidR="00707DAF" w:rsidRPr="00D96752" w:rsidRDefault="00B16829"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605F47F2" w14:textId="77777777" w:rsidR="00707DAF" w:rsidRPr="00D96752" w:rsidRDefault="00707DAF" w:rsidP="00707DAF">
            <w:pPr>
              <w:spacing w:line="276" w:lineRule="auto"/>
              <w:jc w:val="both"/>
              <w:rPr>
                <w:rFonts w:ascii="Times New Roman" w:hAnsi="Times New Roman" w:cs="Times New Roman"/>
                <w:bCs/>
                <w:color w:val="000000" w:themeColor="text1"/>
                <w:lang w:val="ro-MD"/>
              </w:rPr>
            </w:pPr>
          </w:p>
        </w:tc>
      </w:tr>
      <w:tr w:rsidR="00707DAF" w:rsidRPr="00D96752" w14:paraId="22396155"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0190C8F" w14:textId="4B80088E"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(2)   Autoritățile competente examinează periodic și cel puțin o dată la cinci ani calitatea datelor privind pierderile unei instituții care calculează o pierdere anuală din riscul operațional în conformitate cu articolul 316 alineatul (1). În cazul unei instituții al cărei indicator de activitate depășește 1 miliard EUR, autoritățile competente efectuează o astfel de examinare cel puțin o dată la trei ani.</w:t>
            </w:r>
          </w:p>
        </w:tc>
        <w:tc>
          <w:tcPr>
            <w:tcW w:w="1588" w:type="pct"/>
            <w:shd w:val="clear" w:color="auto" w:fill="auto"/>
          </w:tcPr>
          <w:p w14:paraId="2C039315" w14:textId="6D25D9A7" w:rsidR="00707DAF" w:rsidRPr="00D96752" w:rsidRDefault="00707DAF" w:rsidP="00707DAF">
            <w:pPr>
              <w:spacing w:after="0" w:line="276" w:lineRule="auto"/>
              <w:jc w:val="both"/>
              <w:rPr>
                <w:rFonts w:ascii="Times New Roman" w:hAnsi="Times New Roman" w:cs="Times New Roman"/>
                <w:bCs/>
                <w:color w:val="000000" w:themeColor="text1"/>
                <w:lang w:val="ro-MD"/>
              </w:rPr>
            </w:pPr>
            <w:bookmarkStart w:id="52" w:name="_Hlk193371170"/>
            <w:r w:rsidRPr="00D96752">
              <w:rPr>
                <w:rFonts w:ascii="Times New Roman" w:hAnsi="Times New Roman" w:cs="Times New Roman"/>
                <w:bCs/>
                <w:color w:val="000000" w:themeColor="text1"/>
                <w:lang w:val="ro-MD"/>
              </w:rPr>
              <w:t>44.   BNM examinează periodic și cel puțin o dată la cinci ani calitatea datelor privind pierderile unei bănci care calculează o pierdere anuală din riscul operațional în conformitate cu pct.16. În cazul unei bănci al cărei indicator de activitate depășește</w:t>
            </w:r>
            <w:r w:rsidR="00DD0C65" w:rsidRPr="00D96752">
              <w:rPr>
                <w:lang w:val="it-IT"/>
              </w:rPr>
              <w:t xml:space="preserve"> </w:t>
            </w:r>
            <w:r w:rsidRPr="00D96752">
              <w:rPr>
                <w:rFonts w:ascii="Times New Roman" w:hAnsi="Times New Roman" w:cs="Times New Roman"/>
                <w:bCs/>
                <w:color w:val="000000" w:themeColor="text1"/>
                <w:lang w:val="ro-MD"/>
              </w:rPr>
              <w:t xml:space="preserve">1 miliard </w:t>
            </w:r>
            <w:r w:rsidR="00B6783C" w:rsidRPr="00D96752">
              <w:rPr>
                <w:rFonts w:ascii="Times New Roman" w:hAnsi="Times New Roman" w:cs="Times New Roman"/>
                <w:bCs/>
                <w:color w:val="000000" w:themeColor="text1"/>
                <w:lang w:val="ro-MD"/>
              </w:rPr>
              <w:t>lei moldovenești</w:t>
            </w:r>
            <w:r w:rsidRPr="00D96752">
              <w:rPr>
                <w:rFonts w:ascii="Times New Roman" w:hAnsi="Times New Roman" w:cs="Times New Roman"/>
                <w:bCs/>
                <w:color w:val="000000" w:themeColor="text1"/>
                <w:lang w:val="ro-MD"/>
              </w:rPr>
              <w:t>, autoritățile competente efectuează o astfel de examinare cel puțin o dată la trei ani.</w:t>
            </w:r>
            <w:bookmarkEnd w:id="52"/>
          </w:p>
        </w:tc>
        <w:tc>
          <w:tcPr>
            <w:tcW w:w="580" w:type="pct"/>
          </w:tcPr>
          <w:p w14:paraId="202E4AE6" w14:textId="1BCC8C21" w:rsidR="00707DAF" w:rsidRPr="00D96752" w:rsidRDefault="00B6783C"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Parțial </w:t>
            </w:r>
            <w:r w:rsidR="00B16829" w:rsidRPr="00D96752">
              <w:rPr>
                <w:rFonts w:ascii="Times New Roman" w:hAnsi="Times New Roman" w:cs="Times New Roman"/>
                <w:bCs/>
                <w:color w:val="000000" w:themeColor="text1"/>
                <w:lang w:val="ro-MD"/>
              </w:rPr>
              <w:t>compatibil</w:t>
            </w:r>
          </w:p>
        </w:tc>
        <w:tc>
          <w:tcPr>
            <w:tcW w:w="1249" w:type="pct"/>
          </w:tcPr>
          <w:p w14:paraId="2AFC0ADC" w14:textId="3E27EE36" w:rsidR="00707DAF" w:rsidRPr="00D96752" w:rsidRDefault="00B6783C"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Valoarea limitei indicatorului de activitate a fost ajustată </w:t>
            </w:r>
            <w:r w:rsidR="00B040F5" w:rsidRPr="00D96752">
              <w:rPr>
                <w:rFonts w:ascii="Times New Roman" w:hAnsi="Times New Roman" w:cs="Times New Roman"/>
                <w:bCs/>
                <w:color w:val="000000" w:themeColor="text1"/>
                <w:lang w:val="ro-MD"/>
              </w:rPr>
              <w:t>ținând cont de conjunctura bancară din Republica Moldova</w:t>
            </w:r>
            <w:r w:rsidRPr="00D96752">
              <w:rPr>
                <w:rFonts w:ascii="Times New Roman" w:hAnsi="Times New Roman" w:cs="Times New Roman"/>
                <w:bCs/>
                <w:color w:val="000000" w:themeColor="text1"/>
                <w:lang w:val="ro-MD"/>
              </w:rPr>
              <w:t xml:space="preserve">. </w:t>
            </w:r>
          </w:p>
        </w:tc>
      </w:tr>
      <w:tr w:rsidR="00707DAF" w:rsidRPr="00D96752" w14:paraId="6A3570F7"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21F2AE8" w14:textId="77777777" w:rsidR="00707DAF" w:rsidRPr="00D96752" w:rsidRDefault="00707DAF" w:rsidP="00707DAF">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323</w:t>
            </w:r>
          </w:p>
          <w:p w14:paraId="50BDCB97" w14:textId="77777777" w:rsidR="00707DAF" w:rsidRPr="00D96752" w:rsidRDefault="00707DAF" w:rsidP="00707DAF">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Cadrul de gestionare a riscului operațional</w:t>
            </w:r>
          </w:p>
          <w:p w14:paraId="3424122C" w14:textId="75B1BDA1"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(1)   Instituțiile dispun de:</w:t>
            </w:r>
          </w:p>
          <w:p w14:paraId="53BE3DE7" w14:textId="4DCE0166"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(a) un sistem bine documentat de evaluare și gestionare a riscului operațional, care este strâns integrat în procesele de gestionare zilnică a riscurilor, face parte integrantă din procesul de monitorizare și control al profilului de risc operațional al instituției și pentru care au fost atribuite responsabilități clare; sistemul de </w:t>
            </w:r>
            <w:r w:rsidRPr="00D96752">
              <w:rPr>
                <w:rFonts w:ascii="Times New Roman" w:hAnsi="Times New Roman" w:cs="Times New Roman"/>
                <w:bCs/>
                <w:color w:val="000000" w:themeColor="text1"/>
                <w:lang w:val="ro-MD"/>
              </w:rPr>
              <w:lastRenderedPageBreak/>
              <w:t>evaluare și de gestionare a riscului operațional identifică expunerile instituției la riscul operațional și urmărește datele relevante privind riscul operațional, inclusiv datele privind pierderile semnificative;</w:t>
            </w:r>
          </w:p>
          <w:p w14:paraId="3C5C70F4" w14:textId="73187972"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(b) o funcție de gestionare a riscului operațional care este independentă de unitățile operaționale ale instituției;</w:t>
            </w:r>
          </w:p>
          <w:p w14:paraId="02E7EB52" w14:textId="0CF810FD"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 un sistem de raportare către conducerea superioară care permite transmiterea de rapoarte privind riscul operațional către funcțiile relevante din cadrul instituției;</w:t>
            </w:r>
          </w:p>
          <w:p w14:paraId="7CB460DE" w14:textId="23B07614"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(d) un sistem de monitorizare și raportare periodică a expunerilor la riscul operațional și a pierderilor înregistrate, precum și proceduri pentru luarea măsurilor corective adecvate;</w:t>
            </w:r>
          </w:p>
          <w:p w14:paraId="0D48D44F" w14:textId="43AEB1A3"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(e) practici de asigurare a conformității și politici de tratare a cazurilor de neconformitate;</w:t>
            </w:r>
          </w:p>
          <w:p w14:paraId="75F58879" w14:textId="1FE181EC"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 examinări periodice ale proceselor și sistemelor de gestionare și evaluare a riscului operațional ale instituției, efectuate de auditori interni sau externi care dețin cunoștințele necesare;</w:t>
            </w:r>
          </w:p>
          <w:p w14:paraId="6FC936C6" w14:textId="29420E0E"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(g) procese interne de validare care funcționează în mod corect și eficace;</w:t>
            </w:r>
          </w:p>
          <w:p w14:paraId="35398CE6" w14:textId="42A63ECE" w:rsidR="00707DAF" w:rsidRPr="00D96752" w:rsidRDefault="00707DAF"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(h) fluxuri și procese de date transparente și accesibile asociate sistemului de evaluare a riscului operațional al instituției.</w:t>
            </w:r>
          </w:p>
        </w:tc>
        <w:tc>
          <w:tcPr>
            <w:tcW w:w="1588" w:type="pct"/>
            <w:shd w:val="clear" w:color="auto" w:fill="auto"/>
          </w:tcPr>
          <w:p w14:paraId="056E4CE6" w14:textId="06E1996B" w:rsidR="00707DAF" w:rsidRPr="00D96752" w:rsidRDefault="00B16829" w:rsidP="00707DAF">
            <w:pPr>
              <w:spacing w:after="0" w:line="276" w:lineRule="auto"/>
              <w:jc w:val="both"/>
              <w:rPr>
                <w:rFonts w:ascii="Times New Roman" w:hAnsi="Times New Roman" w:cs="Times New Roman"/>
                <w:b/>
                <w:bCs/>
                <w:color w:val="000000" w:themeColor="text1"/>
                <w:lang w:val="ro-MD"/>
              </w:rPr>
            </w:pPr>
            <w:bookmarkStart w:id="53" w:name="_Hlk193371208"/>
            <w:r w:rsidRPr="00D96752">
              <w:rPr>
                <w:rFonts w:ascii="Times New Roman" w:hAnsi="Times New Roman" w:cs="Times New Roman"/>
                <w:b/>
                <w:bCs/>
                <w:color w:val="000000" w:themeColor="text1"/>
                <w:lang w:val="ro-MD"/>
              </w:rPr>
              <w:lastRenderedPageBreak/>
              <w:t>Secțiunea 8.</w:t>
            </w:r>
            <w:r w:rsidRPr="00D96752" w:rsidDel="00707DAF">
              <w:rPr>
                <w:rFonts w:ascii="Times New Roman" w:hAnsi="Times New Roman" w:cs="Times New Roman"/>
                <w:bCs/>
                <w:i/>
                <w:iCs/>
                <w:color w:val="000000" w:themeColor="text1"/>
                <w:lang w:val="ro-MD"/>
              </w:rPr>
              <w:t xml:space="preserve"> </w:t>
            </w:r>
            <w:r w:rsidR="00707DAF" w:rsidRPr="00D96752">
              <w:rPr>
                <w:rFonts w:ascii="Times New Roman" w:hAnsi="Times New Roman" w:cs="Times New Roman"/>
                <w:b/>
                <w:bCs/>
                <w:color w:val="000000" w:themeColor="text1"/>
                <w:lang w:val="ro-MD"/>
              </w:rPr>
              <w:t>Cadrul de gestionare a riscului operațional</w:t>
            </w:r>
          </w:p>
          <w:p w14:paraId="7388B92A" w14:textId="55298DC3"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w:t>
            </w:r>
            <w:r w:rsidR="00707DAF" w:rsidRPr="00D96752">
              <w:rPr>
                <w:rFonts w:ascii="Times New Roman" w:hAnsi="Times New Roman" w:cs="Times New Roman"/>
                <w:bCs/>
                <w:color w:val="000000" w:themeColor="text1"/>
                <w:lang w:val="ro-MD"/>
              </w:rPr>
              <w:t>   </w:t>
            </w:r>
            <w:r w:rsidRPr="00D96752">
              <w:rPr>
                <w:rFonts w:ascii="Times New Roman" w:hAnsi="Times New Roman" w:cs="Times New Roman"/>
                <w:bCs/>
                <w:color w:val="000000" w:themeColor="text1"/>
                <w:lang w:val="ro-MD"/>
              </w:rPr>
              <w:t xml:space="preserve">Băncile </w:t>
            </w:r>
            <w:r w:rsidR="00707DAF" w:rsidRPr="00D96752">
              <w:rPr>
                <w:rFonts w:ascii="Times New Roman" w:hAnsi="Times New Roman" w:cs="Times New Roman"/>
                <w:bCs/>
                <w:color w:val="000000" w:themeColor="text1"/>
                <w:lang w:val="ro-MD"/>
              </w:rPr>
              <w:t>dispun de:</w:t>
            </w:r>
          </w:p>
          <w:p w14:paraId="5F348780" w14:textId="5E97A405"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45.1.</w:t>
            </w:r>
            <w:r w:rsidR="00707DAF" w:rsidRPr="00D96752">
              <w:rPr>
                <w:rFonts w:ascii="Times New Roman" w:hAnsi="Times New Roman" w:cs="Times New Roman"/>
                <w:bCs/>
                <w:color w:val="000000" w:themeColor="text1"/>
                <w:lang w:val="ro-MD"/>
              </w:rPr>
              <w:t xml:space="preserve"> un sistem bine documentat de evaluare și gestionare a riscului operațional, care este strâns integrat în procesele de gestionare zilnică a riscurilor, face parte integrantă din procesul de monitorizare și control al profilului de risc operațional al </w:t>
            </w:r>
            <w:r w:rsidRPr="00D96752">
              <w:rPr>
                <w:rFonts w:ascii="Times New Roman" w:hAnsi="Times New Roman" w:cs="Times New Roman"/>
                <w:bCs/>
                <w:color w:val="000000" w:themeColor="text1"/>
                <w:lang w:val="ro-MD"/>
              </w:rPr>
              <w:t xml:space="preserve">băncii </w:t>
            </w:r>
            <w:r w:rsidR="00707DAF" w:rsidRPr="00D96752">
              <w:rPr>
                <w:rFonts w:ascii="Times New Roman" w:hAnsi="Times New Roman" w:cs="Times New Roman"/>
                <w:bCs/>
                <w:color w:val="000000" w:themeColor="text1"/>
                <w:lang w:val="ro-MD"/>
              </w:rPr>
              <w:t xml:space="preserve">și pentru care au fost atribuite responsabilități clare; </w:t>
            </w:r>
            <w:r w:rsidR="00707DAF" w:rsidRPr="00D96752">
              <w:rPr>
                <w:rFonts w:ascii="Times New Roman" w:hAnsi="Times New Roman" w:cs="Times New Roman"/>
                <w:bCs/>
                <w:color w:val="000000" w:themeColor="text1"/>
                <w:lang w:val="ro-MD"/>
              </w:rPr>
              <w:lastRenderedPageBreak/>
              <w:t xml:space="preserve">sistemul de evaluare și de gestionare a riscului operațional identifică expunerile </w:t>
            </w:r>
            <w:r w:rsidRPr="00D96752">
              <w:rPr>
                <w:rFonts w:ascii="Times New Roman" w:hAnsi="Times New Roman" w:cs="Times New Roman"/>
                <w:bCs/>
                <w:color w:val="000000" w:themeColor="text1"/>
                <w:lang w:val="ro-MD"/>
              </w:rPr>
              <w:t xml:space="preserve">băncii </w:t>
            </w:r>
            <w:r w:rsidR="00707DAF" w:rsidRPr="00D96752">
              <w:rPr>
                <w:rFonts w:ascii="Times New Roman" w:hAnsi="Times New Roman" w:cs="Times New Roman"/>
                <w:bCs/>
                <w:color w:val="000000" w:themeColor="text1"/>
                <w:lang w:val="ro-MD"/>
              </w:rPr>
              <w:t>la riscul operațional și urmărește datele relevante privind riscul operațional, inclusiv datele privind pierderile semnificative;</w:t>
            </w:r>
          </w:p>
          <w:p w14:paraId="7D3F3474" w14:textId="0C2C3276"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45.2.</w:t>
            </w:r>
            <w:r w:rsidR="00707DAF" w:rsidRPr="00D96752">
              <w:rPr>
                <w:rFonts w:ascii="Times New Roman" w:hAnsi="Times New Roman" w:cs="Times New Roman"/>
                <w:bCs/>
                <w:color w:val="000000" w:themeColor="text1"/>
                <w:lang w:val="ro-MD"/>
              </w:rPr>
              <w:t xml:space="preserve"> o funcție de gestionare a riscului operațional care este independentă de unitățile operaționale ale </w:t>
            </w:r>
            <w:r w:rsidRPr="00D96752">
              <w:rPr>
                <w:rFonts w:ascii="Times New Roman" w:hAnsi="Times New Roman" w:cs="Times New Roman"/>
                <w:bCs/>
                <w:color w:val="000000" w:themeColor="text1"/>
                <w:lang w:val="ro-MD"/>
              </w:rPr>
              <w:t>băncii</w:t>
            </w:r>
            <w:r w:rsidR="00707DAF" w:rsidRPr="00D96752">
              <w:rPr>
                <w:rFonts w:ascii="Times New Roman" w:hAnsi="Times New Roman" w:cs="Times New Roman"/>
                <w:bCs/>
                <w:color w:val="000000" w:themeColor="text1"/>
                <w:lang w:val="ro-MD"/>
              </w:rPr>
              <w:t>;</w:t>
            </w:r>
          </w:p>
          <w:p w14:paraId="7CCC491D" w14:textId="759D5A04"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45.3.</w:t>
            </w:r>
            <w:r w:rsidR="00707DAF" w:rsidRPr="00D96752">
              <w:rPr>
                <w:rFonts w:ascii="Times New Roman" w:hAnsi="Times New Roman" w:cs="Times New Roman"/>
                <w:bCs/>
                <w:color w:val="000000" w:themeColor="text1"/>
                <w:lang w:val="ro-MD"/>
              </w:rPr>
              <w:t xml:space="preserve"> un sistem de raportare către conducerea superioară care permite transmiterea de rapoarte privind riscul operațional către funcțiile relevante din cadrul </w:t>
            </w:r>
            <w:r w:rsidRPr="00D96752">
              <w:rPr>
                <w:rFonts w:ascii="Times New Roman" w:hAnsi="Times New Roman" w:cs="Times New Roman"/>
                <w:bCs/>
                <w:color w:val="000000" w:themeColor="text1"/>
                <w:lang w:val="ro-MD"/>
              </w:rPr>
              <w:t>băncii</w:t>
            </w:r>
            <w:r w:rsidR="00707DAF" w:rsidRPr="00D96752">
              <w:rPr>
                <w:rFonts w:ascii="Times New Roman" w:hAnsi="Times New Roman" w:cs="Times New Roman"/>
                <w:bCs/>
                <w:color w:val="000000" w:themeColor="text1"/>
                <w:lang w:val="ro-MD"/>
              </w:rPr>
              <w:t>;</w:t>
            </w:r>
          </w:p>
          <w:p w14:paraId="441DCADB" w14:textId="30934AE8"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45.4.</w:t>
            </w:r>
            <w:r w:rsidR="00707DAF" w:rsidRPr="00D96752">
              <w:rPr>
                <w:rFonts w:ascii="Times New Roman" w:hAnsi="Times New Roman" w:cs="Times New Roman"/>
                <w:bCs/>
                <w:color w:val="000000" w:themeColor="text1"/>
                <w:lang w:val="ro-MD"/>
              </w:rPr>
              <w:t> un sistem de monitorizare și raportare periodică a expunerilor la riscul operațional și a pierderilor înregistrate, precum și proceduri pentru luarea măsurilor corective adecvate;</w:t>
            </w:r>
          </w:p>
          <w:p w14:paraId="45FC0DFF" w14:textId="1DAD7F13"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45.5.</w:t>
            </w:r>
            <w:r w:rsidR="00707DAF" w:rsidRPr="00D96752">
              <w:rPr>
                <w:rFonts w:ascii="Times New Roman" w:hAnsi="Times New Roman" w:cs="Times New Roman"/>
                <w:bCs/>
                <w:color w:val="000000" w:themeColor="text1"/>
                <w:lang w:val="ro-MD"/>
              </w:rPr>
              <w:t> practici de asigurare a conformității și politici de tratare a cazurilor de neconformitate;</w:t>
            </w:r>
          </w:p>
          <w:p w14:paraId="71B1D2B0" w14:textId="64EC3DBE"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45.6.</w:t>
            </w:r>
            <w:r w:rsidR="00707DAF" w:rsidRPr="00D96752">
              <w:rPr>
                <w:rFonts w:ascii="Times New Roman" w:hAnsi="Times New Roman" w:cs="Times New Roman"/>
                <w:bCs/>
                <w:color w:val="000000" w:themeColor="text1"/>
                <w:lang w:val="ro-MD"/>
              </w:rPr>
              <w:t xml:space="preserve"> examinări periodice ale proceselor și sistemelor de gestionare și evaluare a riscului operațional ale </w:t>
            </w:r>
            <w:r w:rsidRPr="00D96752">
              <w:rPr>
                <w:rFonts w:ascii="Times New Roman" w:hAnsi="Times New Roman" w:cs="Times New Roman"/>
                <w:bCs/>
                <w:color w:val="000000" w:themeColor="text1"/>
                <w:lang w:val="ro-MD"/>
              </w:rPr>
              <w:t>băncii</w:t>
            </w:r>
            <w:r w:rsidR="00707DAF" w:rsidRPr="00D96752">
              <w:rPr>
                <w:rFonts w:ascii="Times New Roman" w:hAnsi="Times New Roman" w:cs="Times New Roman"/>
                <w:bCs/>
                <w:color w:val="000000" w:themeColor="text1"/>
                <w:lang w:val="ro-MD"/>
              </w:rPr>
              <w:t>, efectuate de auditori interni sau externi care dețin cunoștințele necesare;</w:t>
            </w:r>
          </w:p>
          <w:p w14:paraId="4DECAF16" w14:textId="5609915E"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45.7.</w:t>
            </w:r>
            <w:r w:rsidR="00707DAF" w:rsidRPr="00D96752">
              <w:rPr>
                <w:rFonts w:ascii="Times New Roman" w:hAnsi="Times New Roman" w:cs="Times New Roman"/>
                <w:bCs/>
                <w:color w:val="000000" w:themeColor="text1"/>
                <w:lang w:val="ro-MD"/>
              </w:rPr>
              <w:t> procese interne de validare care funcționează în mod corect și eficace;</w:t>
            </w:r>
          </w:p>
          <w:p w14:paraId="7BDF2B5E" w14:textId="3F8CAD04" w:rsidR="00707DAF" w:rsidRPr="00D96752" w:rsidRDefault="00B16829" w:rsidP="00707DAF">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45.8.</w:t>
            </w:r>
            <w:r w:rsidR="00707DAF" w:rsidRPr="00D96752">
              <w:rPr>
                <w:rFonts w:ascii="Times New Roman" w:hAnsi="Times New Roman" w:cs="Times New Roman"/>
                <w:bCs/>
                <w:color w:val="000000" w:themeColor="text1"/>
                <w:lang w:val="ro-MD"/>
              </w:rPr>
              <w:t xml:space="preserve"> fluxuri și procese de date transparente și accesibile asociate sistemului de evaluare a riscului operațional al </w:t>
            </w:r>
            <w:r w:rsidR="001F5B60" w:rsidRPr="00D96752">
              <w:rPr>
                <w:rFonts w:ascii="Times New Roman" w:hAnsi="Times New Roman" w:cs="Times New Roman"/>
                <w:bCs/>
                <w:color w:val="000000" w:themeColor="text1"/>
                <w:lang w:val="ro-MD"/>
              </w:rPr>
              <w:t>băncii</w:t>
            </w:r>
            <w:r w:rsidR="00707DAF" w:rsidRPr="00D96752">
              <w:rPr>
                <w:rFonts w:ascii="Times New Roman" w:hAnsi="Times New Roman" w:cs="Times New Roman"/>
                <w:bCs/>
                <w:color w:val="000000" w:themeColor="text1"/>
                <w:lang w:val="ro-MD"/>
              </w:rPr>
              <w:t>.</w:t>
            </w:r>
            <w:bookmarkEnd w:id="53"/>
          </w:p>
        </w:tc>
        <w:tc>
          <w:tcPr>
            <w:tcW w:w="580" w:type="pct"/>
          </w:tcPr>
          <w:p w14:paraId="3B8FB0DB" w14:textId="73A87FCD" w:rsidR="00707DAF" w:rsidRPr="00D96752" w:rsidRDefault="00B16829" w:rsidP="0070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12809734" w14:textId="77777777" w:rsidR="00707DAF" w:rsidRPr="00D96752" w:rsidRDefault="00707DAF" w:rsidP="00707DAF">
            <w:pPr>
              <w:spacing w:line="276" w:lineRule="auto"/>
              <w:jc w:val="both"/>
              <w:rPr>
                <w:rFonts w:ascii="Times New Roman" w:hAnsi="Times New Roman" w:cs="Times New Roman"/>
                <w:bCs/>
                <w:color w:val="000000" w:themeColor="text1"/>
                <w:lang w:val="ro-MD"/>
              </w:rPr>
            </w:pPr>
          </w:p>
        </w:tc>
      </w:tr>
      <w:tr w:rsidR="00B16829" w:rsidRPr="00D96752" w14:paraId="68852697"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7658518A" w14:textId="67B1E404"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(2)   ABE elaborează proiecte de standarde tehnice de reglementare pentru a preciza obligațiile prevăzute la alineatul (1) literele (a)-(h), ținând seama de dimensiunea și complexitatea instituției.</w:t>
            </w:r>
          </w:p>
          <w:p w14:paraId="353D108C"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ABE prezintă Comisiei aceste proiecte de standarde tehnice de reglementare până la 10 ianuarie 2027.</w:t>
            </w:r>
          </w:p>
          <w:p w14:paraId="66E06406" w14:textId="2E856DF5"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1588" w:type="pct"/>
            <w:shd w:val="clear" w:color="auto" w:fill="auto"/>
          </w:tcPr>
          <w:p w14:paraId="496A3716" w14:textId="72F4EEBF" w:rsidR="00B16829" w:rsidRPr="00D96752" w:rsidRDefault="00B16829" w:rsidP="00B16829">
            <w:pPr>
              <w:spacing w:after="0" w:line="276" w:lineRule="auto"/>
              <w:jc w:val="both"/>
              <w:rPr>
                <w:rFonts w:ascii="Times New Roman" w:hAnsi="Times New Roman" w:cs="Times New Roman"/>
                <w:bCs/>
                <w:color w:val="000000" w:themeColor="text1"/>
                <w:lang w:val="ro-MD"/>
              </w:rPr>
            </w:pPr>
          </w:p>
        </w:tc>
        <w:tc>
          <w:tcPr>
            <w:tcW w:w="580" w:type="pct"/>
          </w:tcPr>
          <w:p w14:paraId="0AD018F8" w14:textId="03B343EF" w:rsidR="00B16829" w:rsidRPr="00D96752" w:rsidRDefault="00B16829" w:rsidP="00B16829">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UE neaplicabile</w:t>
            </w:r>
          </w:p>
        </w:tc>
        <w:tc>
          <w:tcPr>
            <w:tcW w:w="1249" w:type="pct"/>
          </w:tcPr>
          <w:p w14:paraId="6C5A8AA1" w14:textId="0F41D8E8" w:rsidR="00B16829" w:rsidRPr="00D96752" w:rsidRDefault="00B16829" w:rsidP="00B16829">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Prevederi care se referă la atribuțiile de reglementare ale autorităților europene.</w:t>
            </w:r>
          </w:p>
        </w:tc>
      </w:tr>
      <w:tr w:rsidR="00B16829" w:rsidRPr="00D96752" w14:paraId="05703CA1"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90120C4" w14:textId="77777777" w:rsidR="00B16829" w:rsidRPr="00D96752" w:rsidRDefault="00B16829" w:rsidP="00B16829">
            <w:pPr>
              <w:spacing w:after="0" w:line="276" w:lineRule="auto"/>
              <w:jc w:val="both"/>
              <w:rPr>
                <w:rFonts w:ascii="Times New Roman" w:hAnsi="Times New Roman" w:cs="Times New Roman"/>
                <w:bCs/>
                <w:i/>
                <w:iCs/>
                <w:color w:val="000000" w:themeColor="text1"/>
                <w:lang w:val="ro-MD"/>
              </w:rPr>
            </w:pPr>
            <w:r w:rsidRPr="00D96752">
              <w:rPr>
                <w:rFonts w:ascii="Times New Roman" w:hAnsi="Times New Roman" w:cs="Times New Roman"/>
                <w:bCs/>
                <w:i/>
                <w:iCs/>
                <w:color w:val="000000" w:themeColor="text1"/>
                <w:lang w:val="ro-MD"/>
              </w:rPr>
              <w:t>Articolul 324</w:t>
            </w:r>
          </w:p>
          <w:p w14:paraId="6B52E9E6" w14:textId="77777777" w:rsidR="00B16829" w:rsidRPr="00D96752" w:rsidRDefault="00B16829" w:rsidP="00B16829">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Clasificarea evenimentelor de pierdere</w:t>
            </w:r>
          </w:p>
          <w:p w14:paraId="257E67A8" w14:textId="1AD496F2"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Evenimentele de pierdere menționate la articolul 322 alineatul (3) litera (b) sunt următoarele:</w:t>
            </w:r>
          </w:p>
        </w:tc>
        <w:tc>
          <w:tcPr>
            <w:tcW w:w="1588" w:type="pct"/>
            <w:shd w:val="clear" w:color="auto" w:fill="auto"/>
          </w:tcPr>
          <w:p w14:paraId="2AA6729B" w14:textId="50036677" w:rsidR="00B16829" w:rsidRPr="00D96752" w:rsidRDefault="00237886" w:rsidP="00B16829">
            <w:pPr>
              <w:spacing w:after="0" w:line="276" w:lineRule="auto"/>
              <w:jc w:val="both"/>
              <w:rPr>
                <w:rFonts w:ascii="Times New Roman" w:hAnsi="Times New Roman" w:cs="Times New Roman"/>
                <w:b/>
                <w:bCs/>
                <w:color w:val="000000" w:themeColor="text1"/>
                <w:lang w:val="ro-MD"/>
              </w:rPr>
            </w:pPr>
            <w:bookmarkStart w:id="54" w:name="_Hlk193372355"/>
            <w:bookmarkStart w:id="55" w:name="_Hlk193371415"/>
            <w:r w:rsidRPr="00D96752">
              <w:rPr>
                <w:rFonts w:ascii="Times New Roman" w:hAnsi="Times New Roman" w:cs="Times New Roman"/>
                <w:b/>
                <w:bCs/>
                <w:color w:val="000000" w:themeColor="text1"/>
                <w:lang w:val="ro-MD"/>
              </w:rPr>
              <w:t>Secțiunea 9.</w:t>
            </w:r>
            <w:r w:rsidRPr="00D96752" w:rsidDel="00237886">
              <w:rPr>
                <w:rFonts w:ascii="Times New Roman" w:hAnsi="Times New Roman" w:cs="Times New Roman"/>
                <w:bCs/>
                <w:i/>
                <w:iCs/>
                <w:color w:val="000000" w:themeColor="text1"/>
                <w:lang w:val="ro-MD"/>
              </w:rPr>
              <w:t xml:space="preserve"> </w:t>
            </w:r>
            <w:r w:rsidR="00B16829" w:rsidRPr="00D96752">
              <w:rPr>
                <w:rFonts w:ascii="Times New Roman" w:hAnsi="Times New Roman" w:cs="Times New Roman"/>
                <w:b/>
                <w:bCs/>
                <w:color w:val="000000" w:themeColor="text1"/>
                <w:lang w:val="ro-MD"/>
              </w:rPr>
              <w:t>Clasificarea evenimentelor de pierdere</w:t>
            </w:r>
          </w:p>
          <w:bookmarkEnd w:id="54"/>
          <w:p w14:paraId="7D5B71CB" w14:textId="72F44407" w:rsidR="00B16829" w:rsidRPr="00D96752" w:rsidRDefault="001F5B60"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46. </w:t>
            </w:r>
            <w:r w:rsidR="00B16829" w:rsidRPr="00D96752">
              <w:rPr>
                <w:rFonts w:ascii="Times New Roman" w:hAnsi="Times New Roman" w:cs="Times New Roman"/>
                <w:bCs/>
                <w:color w:val="000000" w:themeColor="text1"/>
                <w:lang w:val="ro-MD"/>
              </w:rPr>
              <w:t xml:space="preserve">Evenimentele de pierdere menționate la </w:t>
            </w:r>
            <w:r w:rsidR="00901AAE" w:rsidRPr="00D96752">
              <w:rPr>
                <w:rFonts w:ascii="Times New Roman" w:hAnsi="Times New Roman" w:cs="Times New Roman"/>
                <w:bCs/>
                <w:color w:val="000000" w:themeColor="text1"/>
                <w:lang w:val="ro-MD"/>
              </w:rPr>
              <w:t>pct.26</w:t>
            </w:r>
            <w:r w:rsidR="00B16829" w:rsidRPr="00D96752">
              <w:rPr>
                <w:rFonts w:ascii="Times New Roman" w:hAnsi="Times New Roman" w:cs="Times New Roman"/>
                <w:bCs/>
                <w:color w:val="000000" w:themeColor="text1"/>
                <w:lang w:val="ro-MD"/>
              </w:rPr>
              <w:t xml:space="preserve"> sunt următoarele:</w:t>
            </w:r>
            <w:bookmarkEnd w:id="55"/>
          </w:p>
        </w:tc>
        <w:tc>
          <w:tcPr>
            <w:tcW w:w="580" w:type="pct"/>
          </w:tcPr>
          <w:p w14:paraId="382969D0" w14:textId="00929AA0" w:rsidR="00B16829" w:rsidRPr="00D96752" w:rsidRDefault="00703DC9" w:rsidP="00B16829">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compatibil</w:t>
            </w:r>
          </w:p>
        </w:tc>
        <w:tc>
          <w:tcPr>
            <w:tcW w:w="1249" w:type="pct"/>
          </w:tcPr>
          <w:p w14:paraId="27CD2E26" w14:textId="77777777" w:rsidR="00B16829" w:rsidRPr="00D96752" w:rsidRDefault="00B16829" w:rsidP="00B16829">
            <w:pPr>
              <w:spacing w:line="276" w:lineRule="auto"/>
              <w:jc w:val="both"/>
              <w:rPr>
                <w:rFonts w:ascii="Times New Roman" w:hAnsi="Times New Roman" w:cs="Times New Roman"/>
                <w:bCs/>
                <w:color w:val="000000" w:themeColor="text1"/>
                <w:lang w:val="ro-MD"/>
              </w:rPr>
            </w:pPr>
          </w:p>
        </w:tc>
      </w:tr>
      <w:tr w:rsidR="00B16829" w:rsidRPr="00D96752" w14:paraId="7D77155B"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9843780" w14:textId="77777777" w:rsidR="00B16829" w:rsidRPr="00D96752" w:rsidRDefault="00B16829" w:rsidP="00B16829">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Tabelul 3</w:t>
            </w:r>
          </w:p>
          <w:tbl>
            <w:tblPr>
              <w:tblW w:w="470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881"/>
              <w:gridCol w:w="2825"/>
            </w:tblGrid>
            <w:tr w:rsidR="00B16829" w:rsidRPr="00D96752" w14:paraId="2DF0306E"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2170C" w14:textId="77777777" w:rsidR="00B16829" w:rsidRPr="00D96752" w:rsidRDefault="00B16829" w:rsidP="00B16829">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Categoria de evenimente</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4AF044" w14:textId="77777777" w:rsidR="00B16829" w:rsidRPr="00D96752" w:rsidRDefault="00B16829" w:rsidP="00B16829">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Definiție</w:t>
                  </w:r>
                </w:p>
              </w:tc>
            </w:tr>
            <w:tr w:rsidR="00B16829" w:rsidRPr="00D96752" w14:paraId="70EDAD17"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7EA9A0"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Fraudă internă</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3E4BC6"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Pierderi rezultate din acțiuni de genul celor comise cu intenția de fraudare, de însușire frauduloasă de bunuri sau de eludare a reglementărilor, legislației sau politicii instituției, excluzând evenimentele de discriminare </w:t>
                  </w:r>
                  <w:r w:rsidRPr="00D96752">
                    <w:rPr>
                      <w:rFonts w:ascii="Times New Roman" w:hAnsi="Times New Roman" w:cs="Times New Roman"/>
                      <w:bCs/>
                      <w:color w:val="000000" w:themeColor="text1"/>
                      <w:lang w:val="ro-MD"/>
                    </w:rPr>
                    <w:lastRenderedPageBreak/>
                    <w:t>sau încălcare a principiilor diversității, în care este implicată cel puțin o persoană din interiorul acesteia;</w:t>
                  </w:r>
                </w:p>
              </w:tc>
            </w:tr>
            <w:tr w:rsidR="00B16829" w:rsidRPr="00D96752" w14:paraId="26DFE28B"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16341B"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Fraudă externă</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D9D57D"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acțiuni de genul celor comise cu intenția de fraudare, de însușire frauduloasă de bunuri sau de eludare a legislației, comise de un terț.</w:t>
                  </w:r>
                </w:p>
              </w:tc>
            </w:tr>
            <w:tr w:rsidR="00B16829" w:rsidRPr="00D96752" w14:paraId="2448A5AD"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02C8EE"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Practici de angajare și siguranța la locul de muncă</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E35BE1"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acțiuni contrare dispozițiilor legislației și convențiilor în materie de ocupare a forței de muncă, sănătate și siguranță la locul de muncă, din plata de daune pentru vătămări corporale sau din evenimente de discriminare sau de încălcare a principiilor diversității</w:t>
                  </w:r>
                </w:p>
              </w:tc>
            </w:tr>
            <w:tr w:rsidR="00B16829" w:rsidRPr="00D96752" w14:paraId="734D4C47"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0896A5"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Clienți, produse și practici comerciale</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8805A4"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Pierderi rezultate din încălcarea neintenționată sau din neglijență a obligațiilor profesionale față de clienți (inclusiv cele privind încrederea/siguranța și cele </w:t>
                  </w:r>
                  <w:r w:rsidRPr="00D96752">
                    <w:rPr>
                      <w:rFonts w:ascii="Times New Roman" w:hAnsi="Times New Roman" w:cs="Times New Roman"/>
                      <w:bCs/>
                      <w:color w:val="000000" w:themeColor="text1"/>
                      <w:lang w:val="ro-MD"/>
                    </w:rPr>
                    <w:lastRenderedPageBreak/>
                    <w:t>privind adecvarea serviciilor) sau din natura sau caracteristicile unui produs</w:t>
                  </w:r>
                </w:p>
              </w:tc>
            </w:tr>
            <w:tr w:rsidR="00B16829" w:rsidRPr="00D96752" w14:paraId="47CCE126"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74289D"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Pagube asupra activelor corporale</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4713BC"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distrugerea sau deteriorarea activelor corporale în urma catastrofelor naturale sau a altor evenimente</w:t>
                  </w:r>
                </w:p>
              </w:tc>
            </w:tr>
            <w:tr w:rsidR="00B16829" w:rsidRPr="00D96752" w14:paraId="5E9814D7" w14:textId="77777777" w:rsidTr="00DB50E7">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E63E15"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Întreruperea activității și funcționarea neadecvată a sistemelor</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E865D9"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întreruperi ale activității sau funcționarea neadecvată a sistemelor</w:t>
                  </w:r>
                </w:p>
              </w:tc>
            </w:tr>
            <w:tr w:rsidR="00B16829" w:rsidRPr="00D96752" w14:paraId="59B987F3" w14:textId="77777777" w:rsidTr="00DB50E7">
              <w:trPr>
                <w:trHeight w:val="591"/>
              </w:trPr>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64623C"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Executarea, livrarea și gestiunea proceselor</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196161"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datorate procesării neadecvate a tranzacțiilor sau gestiunii necorespunzătoare a proceselor; pierderi din relațiile cu partenerii de afaceri și cu furnizorii</w:t>
                  </w:r>
                </w:p>
              </w:tc>
            </w:tr>
          </w:tbl>
          <w:p w14:paraId="4647EFD7"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p>
        </w:tc>
        <w:tc>
          <w:tcPr>
            <w:tcW w:w="1588" w:type="pct"/>
            <w:shd w:val="clear" w:color="auto" w:fill="auto"/>
          </w:tcPr>
          <w:p w14:paraId="3B8FB10D" w14:textId="1FE2A83F" w:rsidR="00B16829" w:rsidRPr="00D96752" w:rsidRDefault="00B16829" w:rsidP="00B16829">
            <w:pPr>
              <w:spacing w:after="0" w:line="276" w:lineRule="auto"/>
              <w:jc w:val="both"/>
              <w:rPr>
                <w:rFonts w:ascii="Times New Roman" w:hAnsi="Times New Roman" w:cs="Times New Roman"/>
                <w:b/>
                <w:bCs/>
                <w:color w:val="000000" w:themeColor="text1"/>
                <w:lang w:val="ro-MD"/>
              </w:rPr>
            </w:pPr>
            <w:bookmarkStart w:id="56" w:name="_Hlk193371448"/>
            <w:r w:rsidRPr="00D96752">
              <w:rPr>
                <w:rFonts w:ascii="Times New Roman" w:hAnsi="Times New Roman" w:cs="Times New Roman"/>
                <w:b/>
                <w:bCs/>
                <w:color w:val="000000" w:themeColor="text1"/>
                <w:lang w:val="ro-MD"/>
              </w:rPr>
              <w:lastRenderedPageBreak/>
              <w:t>Tabel</w:t>
            </w:r>
          </w:p>
          <w:tbl>
            <w:tblPr>
              <w:tblW w:w="470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881"/>
              <w:gridCol w:w="2825"/>
            </w:tblGrid>
            <w:tr w:rsidR="00B16829" w:rsidRPr="00D96752" w14:paraId="3C3226CF"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88142C" w14:textId="77777777" w:rsidR="00B16829" w:rsidRPr="00D96752" w:rsidRDefault="00B16829" w:rsidP="00B16829">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Categoria de evenimente</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7A844D" w14:textId="77777777" w:rsidR="00B16829" w:rsidRPr="00D96752" w:rsidRDefault="00B16829" w:rsidP="00B16829">
                  <w:pPr>
                    <w:spacing w:after="0" w:line="276" w:lineRule="auto"/>
                    <w:jc w:val="both"/>
                    <w:rPr>
                      <w:rFonts w:ascii="Times New Roman" w:hAnsi="Times New Roman" w:cs="Times New Roman"/>
                      <w:b/>
                      <w:bCs/>
                      <w:color w:val="000000" w:themeColor="text1"/>
                      <w:lang w:val="ro-MD"/>
                    </w:rPr>
                  </w:pPr>
                  <w:r w:rsidRPr="00D96752">
                    <w:rPr>
                      <w:rFonts w:ascii="Times New Roman" w:hAnsi="Times New Roman" w:cs="Times New Roman"/>
                      <w:b/>
                      <w:bCs/>
                      <w:color w:val="000000" w:themeColor="text1"/>
                      <w:lang w:val="ro-MD"/>
                    </w:rPr>
                    <w:t>Definiție</w:t>
                  </w:r>
                </w:p>
              </w:tc>
            </w:tr>
            <w:tr w:rsidR="00B16829" w:rsidRPr="00D96752" w14:paraId="0B3E8E22"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7ACD0"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Fraudă internă</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7D8AB2" w14:textId="555D3B59"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Pierderi rezultate din acțiuni de genul celor comise cu intenția de fraudare, de însușire frauduloasă de bunuri sau de eludare a reglementărilor, legislației sau politicii </w:t>
                  </w:r>
                  <w:r w:rsidR="00EA6AA1" w:rsidRPr="00D96752">
                    <w:rPr>
                      <w:rFonts w:ascii="Times New Roman" w:hAnsi="Times New Roman" w:cs="Times New Roman"/>
                      <w:bCs/>
                      <w:color w:val="000000" w:themeColor="text1"/>
                      <w:lang w:val="ro-MD"/>
                    </w:rPr>
                    <w:t>băncii</w:t>
                  </w:r>
                  <w:r w:rsidRPr="00D96752">
                    <w:rPr>
                      <w:rFonts w:ascii="Times New Roman" w:hAnsi="Times New Roman" w:cs="Times New Roman"/>
                      <w:bCs/>
                      <w:color w:val="000000" w:themeColor="text1"/>
                      <w:lang w:val="ro-MD"/>
                    </w:rPr>
                    <w:t xml:space="preserve">, excluzând evenimentele de discriminare sau încălcare a </w:t>
                  </w:r>
                  <w:r w:rsidRPr="00D96752">
                    <w:rPr>
                      <w:rFonts w:ascii="Times New Roman" w:hAnsi="Times New Roman" w:cs="Times New Roman"/>
                      <w:bCs/>
                      <w:color w:val="000000" w:themeColor="text1"/>
                      <w:lang w:val="ro-MD"/>
                    </w:rPr>
                    <w:lastRenderedPageBreak/>
                    <w:t>principiilor diversității, în care este implicată cel puțin o persoană din interiorul acesteia;</w:t>
                  </w:r>
                </w:p>
              </w:tc>
            </w:tr>
            <w:tr w:rsidR="00B16829" w:rsidRPr="00D96752" w14:paraId="677006D2"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DF5C0E"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Fraudă externă</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DB7DA6"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acțiuni de genul celor comise cu intenția de fraudare, de însușire frauduloasă de bunuri sau de eludare a legislației, comise de un terț.</w:t>
                  </w:r>
                </w:p>
              </w:tc>
            </w:tr>
            <w:tr w:rsidR="00B16829" w:rsidRPr="00D96752" w14:paraId="4BA366AD"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C284FF"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Practici de angajare și siguranța la locul de muncă</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751B40"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acțiuni contrare dispozițiilor legislației și convențiilor în materie de ocupare a forței de muncă, sănătate și siguranță la locul de muncă, din plata de daune pentru vătămări corporale sau din evenimente de discriminare sau de încălcare a principiilor diversității</w:t>
                  </w:r>
                </w:p>
              </w:tc>
            </w:tr>
            <w:tr w:rsidR="00B16829" w:rsidRPr="00D96752" w14:paraId="4076A041"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A6E193"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Clienți, produse și practici comerciale</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289F5D"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Pierderi rezultate din încălcarea neintenționată sau din neglijență a obligațiilor profesionale față de clienți (inclusiv cele privind încrederea/siguranța și cele privind adecvarea serviciilor) </w:t>
                  </w:r>
                  <w:r w:rsidRPr="00D96752">
                    <w:rPr>
                      <w:rFonts w:ascii="Times New Roman" w:hAnsi="Times New Roman" w:cs="Times New Roman"/>
                      <w:bCs/>
                      <w:color w:val="000000" w:themeColor="text1"/>
                      <w:lang w:val="ro-MD"/>
                    </w:rPr>
                    <w:lastRenderedPageBreak/>
                    <w:t>sau din natura sau caracteristicile unui produs</w:t>
                  </w:r>
                </w:p>
              </w:tc>
            </w:tr>
            <w:tr w:rsidR="00B16829" w:rsidRPr="00D96752" w14:paraId="7E550FD9"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EEC5EA"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Pagube asupra activelor corporale</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2B75DA"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distrugerea sau deteriorarea activelor corporale în urma catastrofelor naturale sau a altor evenimente</w:t>
                  </w:r>
                </w:p>
              </w:tc>
            </w:tr>
            <w:tr w:rsidR="00B16829" w:rsidRPr="00D96752" w14:paraId="50084C35" w14:textId="77777777" w:rsidTr="00EB6DBC">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4DE800"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Întreruperea activității și funcționarea neadecvată a sistemelor</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CA1EB1"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rezultate din întreruperi ale activității sau funcționarea neadecvată a sistemelor</w:t>
                  </w:r>
                </w:p>
              </w:tc>
            </w:tr>
            <w:tr w:rsidR="00B16829" w:rsidRPr="00D96752" w14:paraId="67F41ABA" w14:textId="77777777" w:rsidTr="00EB6DBC">
              <w:trPr>
                <w:trHeight w:val="591"/>
              </w:trPr>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607A46"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Executarea, livrarea și gestiunea proceselor</w:t>
                  </w:r>
                </w:p>
              </w:tc>
              <w:tc>
                <w:tcPr>
                  <w:tcW w:w="2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3FB449"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Pierderi datorate procesării neadecvate a tranzacțiilor sau gestiunii necorespunzătoare a proceselor; pierderi din relațiile cu partenerii de afaceri și cu furnizorii</w:t>
                  </w:r>
                </w:p>
              </w:tc>
            </w:tr>
            <w:bookmarkEnd w:id="56"/>
          </w:tbl>
          <w:p w14:paraId="50C8EB3D" w14:textId="77777777" w:rsidR="00B16829" w:rsidRPr="00D96752" w:rsidRDefault="00B16829" w:rsidP="00B16829">
            <w:pPr>
              <w:spacing w:after="0" w:line="276" w:lineRule="auto"/>
              <w:jc w:val="both"/>
              <w:rPr>
                <w:rFonts w:ascii="Times New Roman" w:hAnsi="Times New Roman" w:cs="Times New Roman"/>
                <w:bCs/>
                <w:color w:val="000000" w:themeColor="text1"/>
                <w:lang w:val="ro-MD"/>
              </w:rPr>
            </w:pPr>
          </w:p>
        </w:tc>
        <w:tc>
          <w:tcPr>
            <w:tcW w:w="580" w:type="pct"/>
          </w:tcPr>
          <w:p w14:paraId="46F55EB9" w14:textId="1886573B" w:rsidR="00B16829" w:rsidRPr="00D96752" w:rsidRDefault="00703DC9" w:rsidP="00B16829">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lastRenderedPageBreak/>
              <w:t>compatibil</w:t>
            </w:r>
          </w:p>
        </w:tc>
        <w:tc>
          <w:tcPr>
            <w:tcW w:w="1249" w:type="pct"/>
          </w:tcPr>
          <w:p w14:paraId="4E3FB7B2" w14:textId="77777777" w:rsidR="00B16829" w:rsidRPr="00D96752" w:rsidRDefault="00B16829" w:rsidP="00B16829">
            <w:pPr>
              <w:spacing w:line="276" w:lineRule="auto"/>
              <w:jc w:val="both"/>
              <w:rPr>
                <w:rFonts w:ascii="Times New Roman" w:hAnsi="Times New Roman" w:cs="Times New Roman"/>
                <w:bCs/>
                <w:color w:val="000000" w:themeColor="text1"/>
                <w:lang w:val="ro-MD"/>
              </w:rPr>
            </w:pPr>
          </w:p>
        </w:tc>
      </w:tr>
      <w:tr w:rsidR="004E7DAF" w:rsidRPr="00D96752" w14:paraId="2246C26A"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6021F27D" w14:textId="77777777" w:rsidR="004E7DAF" w:rsidRPr="00D96752" w:rsidRDefault="004E7DAF" w:rsidP="00B16829">
            <w:pPr>
              <w:spacing w:after="0" w:line="276" w:lineRule="auto"/>
              <w:jc w:val="both"/>
              <w:rPr>
                <w:rFonts w:ascii="Times New Roman" w:hAnsi="Times New Roman" w:cs="Times New Roman"/>
                <w:color w:val="000000" w:themeColor="text1"/>
                <w:lang w:val="ro-MD"/>
              </w:rPr>
            </w:pPr>
          </w:p>
        </w:tc>
        <w:tc>
          <w:tcPr>
            <w:tcW w:w="1588" w:type="pct"/>
            <w:shd w:val="clear" w:color="auto" w:fill="auto"/>
          </w:tcPr>
          <w:p w14:paraId="11608911" w14:textId="77777777" w:rsidR="004E7DAF" w:rsidRPr="00D96752" w:rsidRDefault="004E7DAF" w:rsidP="001E0D0B">
            <w:pPr>
              <w:spacing w:after="0" w:line="276" w:lineRule="auto"/>
              <w:jc w:val="both"/>
              <w:rPr>
                <w:rFonts w:ascii="Times New Roman" w:hAnsi="Times New Roman" w:cs="Times New Roman"/>
                <w:color w:val="000000" w:themeColor="text1"/>
                <w:lang w:val="ro-MD"/>
              </w:rPr>
            </w:pPr>
          </w:p>
        </w:tc>
        <w:tc>
          <w:tcPr>
            <w:tcW w:w="580" w:type="pct"/>
          </w:tcPr>
          <w:p w14:paraId="3F771AFB" w14:textId="77777777" w:rsidR="004E7DAF" w:rsidRPr="00D96752" w:rsidRDefault="004E7DAF" w:rsidP="00B16829">
            <w:pPr>
              <w:spacing w:line="276" w:lineRule="auto"/>
              <w:jc w:val="both"/>
              <w:rPr>
                <w:rFonts w:ascii="Times New Roman" w:hAnsi="Times New Roman" w:cs="Times New Roman"/>
                <w:bCs/>
                <w:color w:val="000000" w:themeColor="text1"/>
                <w:lang w:val="ro-MD"/>
              </w:rPr>
            </w:pPr>
          </w:p>
        </w:tc>
        <w:tc>
          <w:tcPr>
            <w:tcW w:w="1249" w:type="pct"/>
          </w:tcPr>
          <w:p w14:paraId="4E19997D" w14:textId="77777777" w:rsidR="004E7DAF" w:rsidRPr="00D96752" w:rsidRDefault="004E7DAF" w:rsidP="004E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2. Prezentul regulament se aplică băncilor persoane juridice din Republica Moldova, precum </w:t>
            </w:r>
            <w:proofErr w:type="spellStart"/>
            <w:r w:rsidRPr="00D96752">
              <w:rPr>
                <w:rFonts w:ascii="Times New Roman" w:hAnsi="Times New Roman" w:cs="Times New Roman"/>
                <w:bCs/>
                <w:color w:val="000000" w:themeColor="text1"/>
                <w:lang w:val="ro-MD"/>
              </w:rPr>
              <w:t>şi</w:t>
            </w:r>
            <w:proofErr w:type="spellEnd"/>
            <w:r w:rsidRPr="00D96752">
              <w:rPr>
                <w:rFonts w:ascii="Times New Roman" w:hAnsi="Times New Roman" w:cs="Times New Roman"/>
                <w:bCs/>
                <w:color w:val="000000" w:themeColor="text1"/>
                <w:lang w:val="ro-MD"/>
              </w:rPr>
              <w:t xml:space="preserve"> sucursalelor din Republica Moldova ale băncilor din alte state.</w:t>
            </w:r>
          </w:p>
          <w:p w14:paraId="5752E5CD" w14:textId="7D7237A7" w:rsidR="004E7DAF" w:rsidRPr="00D96752" w:rsidRDefault="004E7DAF" w:rsidP="004E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Pct.2 este în conformitate cu art.45 alin.(1) </w:t>
            </w:r>
            <w:proofErr w:type="spellStart"/>
            <w:r w:rsidRPr="00D96752">
              <w:rPr>
                <w:rFonts w:ascii="Times New Roman" w:hAnsi="Times New Roman" w:cs="Times New Roman"/>
                <w:bCs/>
                <w:color w:val="000000" w:themeColor="text1"/>
                <w:lang w:val="ro-MD"/>
              </w:rPr>
              <w:t>lit.a</w:t>
            </w:r>
            <w:proofErr w:type="spellEnd"/>
            <w:r w:rsidRPr="00D96752">
              <w:rPr>
                <w:rFonts w:ascii="Times New Roman" w:hAnsi="Times New Roman" w:cs="Times New Roman"/>
                <w:bCs/>
                <w:color w:val="000000" w:themeColor="text1"/>
                <w:lang w:val="ro-MD"/>
              </w:rPr>
              <w:t xml:space="preserve">) din Legea nr.100/2017 cu privire la actele normative și determină domeniul de </w:t>
            </w:r>
            <w:r w:rsidRPr="00D96752">
              <w:rPr>
                <w:rFonts w:ascii="Times New Roman" w:hAnsi="Times New Roman" w:cs="Times New Roman"/>
                <w:bCs/>
                <w:color w:val="000000" w:themeColor="text1"/>
                <w:lang w:val="ro-MD"/>
              </w:rPr>
              <w:lastRenderedPageBreak/>
              <w:t xml:space="preserve">aplicare. Acesta nu excedă obiectul de reglementare al Regulamentului UE 575/2013 și nu </w:t>
            </w:r>
            <w:proofErr w:type="spellStart"/>
            <w:r w:rsidRPr="00D96752">
              <w:rPr>
                <w:rFonts w:ascii="Times New Roman" w:hAnsi="Times New Roman" w:cs="Times New Roman"/>
                <w:bCs/>
                <w:color w:val="000000" w:themeColor="text1"/>
                <w:lang w:val="ro-MD"/>
              </w:rPr>
              <w:t>suprareglementează</w:t>
            </w:r>
            <w:proofErr w:type="spellEnd"/>
            <w:r w:rsidRPr="00D96752">
              <w:rPr>
                <w:rFonts w:ascii="Times New Roman" w:hAnsi="Times New Roman" w:cs="Times New Roman"/>
                <w:bCs/>
                <w:color w:val="000000" w:themeColor="text1"/>
                <w:lang w:val="ro-MD"/>
              </w:rPr>
              <w:t xml:space="preserve"> domeniul.</w:t>
            </w:r>
          </w:p>
        </w:tc>
      </w:tr>
      <w:tr w:rsidR="001E0D0B" w:rsidRPr="00D96752" w14:paraId="27D6B9F9" w14:textId="77777777" w:rsidTr="00D96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D9E3138" w14:textId="77777777" w:rsidR="001E0D0B" w:rsidRPr="00D96752" w:rsidRDefault="001E0D0B" w:rsidP="00B16829">
            <w:pPr>
              <w:spacing w:after="0" w:line="276" w:lineRule="auto"/>
              <w:jc w:val="both"/>
              <w:rPr>
                <w:rFonts w:ascii="Times New Roman" w:hAnsi="Times New Roman" w:cs="Times New Roman"/>
                <w:color w:val="000000" w:themeColor="text1"/>
                <w:lang w:val="ro-MD"/>
              </w:rPr>
            </w:pPr>
          </w:p>
        </w:tc>
        <w:tc>
          <w:tcPr>
            <w:tcW w:w="1588" w:type="pct"/>
            <w:shd w:val="clear" w:color="auto" w:fill="auto"/>
          </w:tcPr>
          <w:p w14:paraId="58D2E139" w14:textId="697944E9" w:rsidR="001E0D0B" w:rsidRPr="00D96752" w:rsidRDefault="001E0D0B" w:rsidP="001E0D0B">
            <w:pPr>
              <w:spacing w:after="0" w:line="276" w:lineRule="auto"/>
              <w:jc w:val="both"/>
              <w:rPr>
                <w:rFonts w:ascii="Times New Roman" w:hAnsi="Times New Roman" w:cs="Times New Roman"/>
                <w:color w:val="000000" w:themeColor="text1"/>
                <w:lang w:val="ro-MD"/>
              </w:rPr>
            </w:pPr>
          </w:p>
        </w:tc>
        <w:tc>
          <w:tcPr>
            <w:tcW w:w="580" w:type="pct"/>
          </w:tcPr>
          <w:p w14:paraId="2D17242C" w14:textId="77777777" w:rsidR="001E0D0B" w:rsidRPr="00D96752" w:rsidRDefault="001E0D0B" w:rsidP="00B16829">
            <w:pPr>
              <w:spacing w:line="276" w:lineRule="auto"/>
              <w:jc w:val="both"/>
              <w:rPr>
                <w:rFonts w:ascii="Times New Roman" w:hAnsi="Times New Roman" w:cs="Times New Roman"/>
                <w:bCs/>
                <w:color w:val="000000" w:themeColor="text1"/>
                <w:lang w:val="ro-MD"/>
              </w:rPr>
            </w:pPr>
          </w:p>
        </w:tc>
        <w:tc>
          <w:tcPr>
            <w:tcW w:w="1249" w:type="pct"/>
          </w:tcPr>
          <w:p w14:paraId="7307035C" w14:textId="77777777" w:rsidR="001E0D0B" w:rsidRPr="00D96752" w:rsidRDefault="004E7DAF" w:rsidP="004E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3. Băncile respectă </w:t>
            </w:r>
            <w:proofErr w:type="spellStart"/>
            <w:r w:rsidRPr="00D96752">
              <w:rPr>
                <w:rFonts w:ascii="Times New Roman" w:hAnsi="Times New Roman" w:cs="Times New Roman"/>
                <w:bCs/>
                <w:color w:val="000000" w:themeColor="text1"/>
                <w:lang w:val="ro-MD"/>
              </w:rPr>
              <w:t>obligaţiile</w:t>
            </w:r>
            <w:proofErr w:type="spellEnd"/>
            <w:r w:rsidRPr="00D96752">
              <w:rPr>
                <w:rFonts w:ascii="Times New Roman" w:hAnsi="Times New Roman" w:cs="Times New Roman"/>
                <w:bCs/>
                <w:color w:val="000000" w:themeColor="text1"/>
                <w:lang w:val="ro-MD"/>
              </w:rPr>
              <w:t xml:space="preserve"> prevăzute în prezentul regulament pe bază individuală. După caz, băncile îndeplinesc, în măsura </w:t>
            </w:r>
            <w:proofErr w:type="spellStart"/>
            <w:r w:rsidRPr="00D96752">
              <w:rPr>
                <w:rFonts w:ascii="Times New Roman" w:hAnsi="Times New Roman" w:cs="Times New Roman"/>
                <w:bCs/>
                <w:color w:val="000000" w:themeColor="text1"/>
                <w:lang w:val="ro-MD"/>
              </w:rPr>
              <w:t>şi</w:t>
            </w:r>
            <w:proofErr w:type="spellEnd"/>
            <w:r w:rsidRPr="00D96752">
              <w:rPr>
                <w:rFonts w:ascii="Times New Roman" w:hAnsi="Times New Roman" w:cs="Times New Roman"/>
                <w:bCs/>
                <w:color w:val="000000" w:themeColor="text1"/>
                <w:lang w:val="ro-MD"/>
              </w:rPr>
              <w:t xml:space="preserve"> potrivit metodelor prevăzute la capitolul IV din Regulamentul cu privire la supravegherea pe bază consolidată a băncilor, aprobat prin Hotărârea Comitetului executiv al Băncii </w:t>
            </w:r>
            <w:proofErr w:type="spellStart"/>
            <w:r w:rsidRPr="00D96752">
              <w:rPr>
                <w:rFonts w:ascii="Times New Roman" w:hAnsi="Times New Roman" w:cs="Times New Roman"/>
                <w:bCs/>
                <w:color w:val="000000" w:themeColor="text1"/>
                <w:lang w:val="ro-MD"/>
              </w:rPr>
              <w:t>Naţionale</w:t>
            </w:r>
            <w:proofErr w:type="spellEnd"/>
            <w:r w:rsidRPr="00D96752">
              <w:rPr>
                <w:rFonts w:ascii="Times New Roman" w:hAnsi="Times New Roman" w:cs="Times New Roman"/>
                <w:bCs/>
                <w:color w:val="000000" w:themeColor="text1"/>
                <w:lang w:val="ro-MD"/>
              </w:rPr>
              <w:t xml:space="preserve"> a Moldovei nr.101/2020 </w:t>
            </w:r>
            <w:proofErr w:type="spellStart"/>
            <w:r w:rsidRPr="00D96752">
              <w:rPr>
                <w:rFonts w:ascii="Times New Roman" w:hAnsi="Times New Roman" w:cs="Times New Roman"/>
                <w:bCs/>
                <w:color w:val="000000" w:themeColor="text1"/>
                <w:lang w:val="ro-MD"/>
              </w:rPr>
              <w:t>obligaţiile</w:t>
            </w:r>
            <w:proofErr w:type="spellEnd"/>
            <w:r w:rsidRPr="00D96752">
              <w:rPr>
                <w:rFonts w:ascii="Times New Roman" w:hAnsi="Times New Roman" w:cs="Times New Roman"/>
                <w:bCs/>
                <w:color w:val="000000" w:themeColor="text1"/>
                <w:lang w:val="ro-MD"/>
              </w:rPr>
              <w:t xml:space="preserve"> prevăzute în prezentul regulament pe baza </w:t>
            </w:r>
            <w:proofErr w:type="spellStart"/>
            <w:r w:rsidRPr="00D96752">
              <w:rPr>
                <w:rFonts w:ascii="Times New Roman" w:hAnsi="Times New Roman" w:cs="Times New Roman"/>
                <w:bCs/>
                <w:color w:val="000000" w:themeColor="text1"/>
                <w:lang w:val="ro-MD"/>
              </w:rPr>
              <w:t>situaţiei</w:t>
            </w:r>
            <w:proofErr w:type="spellEnd"/>
            <w:r w:rsidRPr="00D96752">
              <w:rPr>
                <w:rFonts w:ascii="Times New Roman" w:hAnsi="Times New Roman" w:cs="Times New Roman"/>
                <w:bCs/>
                <w:color w:val="000000" w:themeColor="text1"/>
                <w:lang w:val="ro-MD"/>
              </w:rPr>
              <w:t xml:space="preserve"> lor consolidate.</w:t>
            </w:r>
          </w:p>
          <w:p w14:paraId="6BD36501" w14:textId="2C2607A7" w:rsidR="004E7DAF" w:rsidRPr="00D96752" w:rsidRDefault="004E7DAF" w:rsidP="004E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RO"/>
              </w:rPr>
              <w:t xml:space="preserve">Pct.3 este în conformitate cu art.45 alin.(1) </w:t>
            </w:r>
            <w:proofErr w:type="spellStart"/>
            <w:r w:rsidRPr="00D96752">
              <w:rPr>
                <w:rFonts w:ascii="Times New Roman" w:hAnsi="Times New Roman" w:cs="Times New Roman"/>
                <w:bCs/>
                <w:color w:val="000000" w:themeColor="text1"/>
                <w:lang w:val="ro-RO"/>
              </w:rPr>
              <w:t>lit.a</w:t>
            </w:r>
            <w:proofErr w:type="spellEnd"/>
            <w:r w:rsidRPr="00D96752">
              <w:rPr>
                <w:rFonts w:ascii="Times New Roman" w:hAnsi="Times New Roman" w:cs="Times New Roman"/>
                <w:bCs/>
                <w:color w:val="000000" w:themeColor="text1"/>
                <w:lang w:val="ro-RO"/>
              </w:rPr>
              <w:t>) și b) din Legea nr.100/2017 cu privire la actele normative și determină domeniul de aplicare, precum și</w:t>
            </w:r>
            <w:r w:rsidRPr="00D96752">
              <w:rPr>
                <w:lang w:val="it-IT"/>
              </w:rPr>
              <w:t xml:space="preserve"> </w:t>
            </w:r>
            <w:r w:rsidRPr="00D96752">
              <w:rPr>
                <w:rFonts w:ascii="Times New Roman" w:hAnsi="Times New Roman" w:cs="Times New Roman"/>
                <w:bCs/>
                <w:color w:val="000000" w:themeColor="text1"/>
                <w:lang w:val="ro-RO"/>
              </w:rPr>
              <w:t xml:space="preserve">orientează întreaga reglementare. Acesta nu excedă obiectul de reglementare al Regulamentului UE 575/2013 și nu </w:t>
            </w:r>
            <w:proofErr w:type="spellStart"/>
            <w:r w:rsidRPr="00D96752">
              <w:rPr>
                <w:rFonts w:ascii="Times New Roman" w:hAnsi="Times New Roman" w:cs="Times New Roman"/>
                <w:bCs/>
                <w:color w:val="000000" w:themeColor="text1"/>
                <w:lang w:val="ro-RO"/>
              </w:rPr>
              <w:t>suprareglementează</w:t>
            </w:r>
            <w:proofErr w:type="spellEnd"/>
            <w:r w:rsidRPr="00D96752">
              <w:rPr>
                <w:rFonts w:ascii="Times New Roman" w:hAnsi="Times New Roman" w:cs="Times New Roman"/>
                <w:bCs/>
                <w:color w:val="000000" w:themeColor="text1"/>
                <w:lang w:val="ro-RO"/>
              </w:rPr>
              <w:t xml:space="preserve"> domeniul.</w:t>
            </w:r>
          </w:p>
        </w:tc>
      </w:tr>
      <w:tr w:rsidR="004E7DAF" w:rsidRPr="00D96752" w14:paraId="7B21404B" w14:textId="77777777" w:rsidTr="004E7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3" w:type="pct"/>
            <w:shd w:val="clear" w:color="auto" w:fill="auto"/>
          </w:tcPr>
          <w:p w14:paraId="1EC6AD58" w14:textId="77777777" w:rsidR="004E7DAF" w:rsidRPr="00D96752" w:rsidRDefault="004E7DAF" w:rsidP="00B16829">
            <w:pPr>
              <w:spacing w:after="0" w:line="276" w:lineRule="auto"/>
              <w:jc w:val="both"/>
              <w:rPr>
                <w:rFonts w:ascii="Times New Roman" w:hAnsi="Times New Roman" w:cs="Times New Roman"/>
                <w:color w:val="000000" w:themeColor="text1"/>
                <w:lang w:val="ro-MD"/>
              </w:rPr>
            </w:pPr>
          </w:p>
        </w:tc>
        <w:tc>
          <w:tcPr>
            <w:tcW w:w="1588" w:type="pct"/>
            <w:shd w:val="clear" w:color="auto" w:fill="auto"/>
          </w:tcPr>
          <w:p w14:paraId="46F4B8EC" w14:textId="77777777" w:rsidR="004E7DAF" w:rsidRPr="00D96752" w:rsidRDefault="004E7DAF" w:rsidP="001E0D0B">
            <w:pPr>
              <w:spacing w:after="0" w:line="276" w:lineRule="auto"/>
              <w:jc w:val="both"/>
              <w:rPr>
                <w:rFonts w:ascii="Times New Roman" w:hAnsi="Times New Roman" w:cs="Times New Roman"/>
                <w:color w:val="000000" w:themeColor="text1"/>
                <w:lang w:val="ro-MD"/>
              </w:rPr>
            </w:pPr>
          </w:p>
        </w:tc>
        <w:tc>
          <w:tcPr>
            <w:tcW w:w="580" w:type="pct"/>
          </w:tcPr>
          <w:p w14:paraId="3567192A" w14:textId="77777777" w:rsidR="004E7DAF" w:rsidRPr="00D96752" w:rsidRDefault="004E7DAF" w:rsidP="00B16829">
            <w:pPr>
              <w:spacing w:line="276" w:lineRule="auto"/>
              <w:jc w:val="both"/>
              <w:rPr>
                <w:rFonts w:ascii="Times New Roman" w:hAnsi="Times New Roman" w:cs="Times New Roman"/>
                <w:bCs/>
                <w:color w:val="000000" w:themeColor="text1"/>
                <w:lang w:val="ro-MD"/>
              </w:rPr>
            </w:pPr>
          </w:p>
        </w:tc>
        <w:tc>
          <w:tcPr>
            <w:tcW w:w="1249" w:type="pct"/>
          </w:tcPr>
          <w:p w14:paraId="752AD1FF" w14:textId="77777777" w:rsidR="004E7DAF" w:rsidRPr="00D96752" w:rsidRDefault="004E7DAF" w:rsidP="004E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4. Termenii </w:t>
            </w:r>
            <w:proofErr w:type="spellStart"/>
            <w:r w:rsidRPr="00D96752">
              <w:rPr>
                <w:rFonts w:ascii="Times New Roman" w:hAnsi="Times New Roman" w:cs="Times New Roman"/>
                <w:bCs/>
                <w:color w:val="000000" w:themeColor="text1"/>
                <w:lang w:val="ro-MD"/>
              </w:rPr>
              <w:t>şi</w:t>
            </w:r>
            <w:proofErr w:type="spellEnd"/>
            <w:r w:rsidRPr="00D96752">
              <w:rPr>
                <w:rFonts w:ascii="Times New Roman" w:hAnsi="Times New Roman" w:cs="Times New Roman"/>
                <w:bCs/>
                <w:color w:val="000000" w:themeColor="text1"/>
                <w:lang w:val="ro-MD"/>
              </w:rPr>
              <w:t xml:space="preserve"> expresiile utilizate în prezentul regulament au </w:t>
            </w:r>
            <w:proofErr w:type="spellStart"/>
            <w:r w:rsidRPr="00D96752">
              <w:rPr>
                <w:rFonts w:ascii="Times New Roman" w:hAnsi="Times New Roman" w:cs="Times New Roman"/>
                <w:bCs/>
                <w:color w:val="000000" w:themeColor="text1"/>
                <w:lang w:val="ro-MD"/>
              </w:rPr>
              <w:t>semnificaţia</w:t>
            </w:r>
            <w:proofErr w:type="spellEnd"/>
            <w:r w:rsidRPr="00D96752">
              <w:rPr>
                <w:rFonts w:ascii="Times New Roman" w:hAnsi="Times New Roman" w:cs="Times New Roman"/>
                <w:bCs/>
                <w:color w:val="000000" w:themeColor="text1"/>
                <w:lang w:val="ro-MD"/>
              </w:rPr>
              <w:t xml:space="preserve"> </w:t>
            </w:r>
            <w:r w:rsidRPr="00D96752">
              <w:rPr>
                <w:rFonts w:ascii="Times New Roman" w:hAnsi="Times New Roman" w:cs="Times New Roman"/>
                <w:bCs/>
                <w:color w:val="000000" w:themeColor="text1"/>
                <w:lang w:val="ro-MD"/>
              </w:rPr>
              <w:lastRenderedPageBreak/>
              <w:t xml:space="preserve">prevăzută în Legea nr.202 din 6 octombrie 2017 privind activitatea băncilor (în continuare – Legea nr.202 din 6 octombrie 2017) </w:t>
            </w:r>
            <w:proofErr w:type="spellStart"/>
            <w:r w:rsidRPr="00D96752">
              <w:rPr>
                <w:rFonts w:ascii="Times New Roman" w:hAnsi="Times New Roman" w:cs="Times New Roman"/>
                <w:bCs/>
                <w:color w:val="000000" w:themeColor="text1"/>
                <w:lang w:val="ro-MD"/>
              </w:rPr>
              <w:t>şi</w:t>
            </w:r>
            <w:proofErr w:type="spellEnd"/>
            <w:r w:rsidRPr="00D96752">
              <w:rPr>
                <w:rFonts w:ascii="Times New Roman" w:hAnsi="Times New Roman" w:cs="Times New Roman"/>
                <w:bCs/>
                <w:color w:val="000000" w:themeColor="text1"/>
                <w:lang w:val="ro-MD"/>
              </w:rPr>
              <w:t xml:space="preserve"> în actele normative ale Băncii </w:t>
            </w:r>
            <w:proofErr w:type="spellStart"/>
            <w:r w:rsidRPr="00D96752">
              <w:rPr>
                <w:rFonts w:ascii="Times New Roman" w:hAnsi="Times New Roman" w:cs="Times New Roman"/>
                <w:bCs/>
                <w:color w:val="000000" w:themeColor="text1"/>
                <w:lang w:val="ro-MD"/>
              </w:rPr>
              <w:t>Naţionale</w:t>
            </w:r>
            <w:proofErr w:type="spellEnd"/>
            <w:r w:rsidRPr="00D96752">
              <w:rPr>
                <w:rFonts w:ascii="Times New Roman" w:hAnsi="Times New Roman" w:cs="Times New Roman"/>
                <w:bCs/>
                <w:color w:val="000000" w:themeColor="text1"/>
                <w:lang w:val="ro-MD"/>
              </w:rPr>
              <w:t xml:space="preserve"> a Moldovei emise în aplicarea legii </w:t>
            </w:r>
            <w:proofErr w:type="spellStart"/>
            <w:r w:rsidRPr="00D96752">
              <w:rPr>
                <w:rFonts w:ascii="Times New Roman" w:hAnsi="Times New Roman" w:cs="Times New Roman"/>
                <w:bCs/>
                <w:color w:val="000000" w:themeColor="text1"/>
                <w:lang w:val="ro-MD"/>
              </w:rPr>
              <w:t>menţionate</w:t>
            </w:r>
            <w:proofErr w:type="spellEnd"/>
            <w:r w:rsidRPr="00D96752">
              <w:rPr>
                <w:rFonts w:ascii="Times New Roman" w:hAnsi="Times New Roman" w:cs="Times New Roman"/>
                <w:bCs/>
                <w:color w:val="000000" w:themeColor="text1"/>
                <w:lang w:val="ro-MD"/>
              </w:rPr>
              <w:t>.</w:t>
            </w:r>
          </w:p>
          <w:p w14:paraId="4F3D3B85" w14:textId="2257A11E" w:rsidR="004E7DAF" w:rsidRPr="004E7DAF" w:rsidRDefault="004E7DAF" w:rsidP="004E7DAF">
            <w:pPr>
              <w:spacing w:line="276" w:lineRule="auto"/>
              <w:jc w:val="both"/>
              <w:rPr>
                <w:rFonts w:ascii="Times New Roman" w:hAnsi="Times New Roman" w:cs="Times New Roman"/>
                <w:bCs/>
                <w:color w:val="000000" w:themeColor="text1"/>
                <w:lang w:val="ro-MD"/>
              </w:rPr>
            </w:pPr>
            <w:r w:rsidRPr="00D96752">
              <w:rPr>
                <w:rFonts w:ascii="Times New Roman" w:hAnsi="Times New Roman" w:cs="Times New Roman"/>
                <w:bCs/>
                <w:color w:val="000000" w:themeColor="text1"/>
                <w:lang w:val="ro-MD"/>
              </w:rPr>
              <w:t xml:space="preserve">Pct.4 este în conformitate cu art.45 alin.(1) </w:t>
            </w:r>
            <w:proofErr w:type="spellStart"/>
            <w:r w:rsidRPr="00D96752">
              <w:rPr>
                <w:rFonts w:ascii="Times New Roman" w:hAnsi="Times New Roman" w:cs="Times New Roman"/>
                <w:bCs/>
                <w:color w:val="000000" w:themeColor="text1"/>
                <w:lang w:val="ro-MD"/>
              </w:rPr>
              <w:t>lit.a</w:t>
            </w:r>
            <w:proofErr w:type="spellEnd"/>
            <w:r w:rsidRPr="00D96752">
              <w:rPr>
                <w:rFonts w:ascii="Times New Roman" w:hAnsi="Times New Roman" w:cs="Times New Roman"/>
                <w:bCs/>
                <w:color w:val="000000" w:themeColor="text1"/>
                <w:lang w:val="ro-MD"/>
              </w:rPr>
              <w:t xml:space="preserve">) și b) din Legea nr.100/2017 cu privire la actele normative și determină obiectul, scopul </w:t>
            </w:r>
            <w:proofErr w:type="spellStart"/>
            <w:r w:rsidRPr="00D96752">
              <w:rPr>
                <w:rFonts w:ascii="Times New Roman" w:hAnsi="Times New Roman" w:cs="Times New Roman"/>
                <w:bCs/>
                <w:color w:val="000000" w:themeColor="text1"/>
                <w:lang w:val="ro-MD"/>
              </w:rPr>
              <w:t>şi</w:t>
            </w:r>
            <w:proofErr w:type="spellEnd"/>
            <w:r w:rsidRPr="00D96752">
              <w:rPr>
                <w:rFonts w:ascii="Times New Roman" w:hAnsi="Times New Roman" w:cs="Times New Roman"/>
                <w:bCs/>
                <w:color w:val="000000" w:themeColor="text1"/>
                <w:lang w:val="ro-MD"/>
              </w:rPr>
              <w:t xml:space="preserve"> domeniul de aplicare, precum și orientează întreaga reglementare. Acesta nu excedă obiectul de reglementare al Regulamentului UE 575/2013 și nu </w:t>
            </w:r>
            <w:proofErr w:type="spellStart"/>
            <w:r w:rsidRPr="00D96752">
              <w:rPr>
                <w:rFonts w:ascii="Times New Roman" w:hAnsi="Times New Roman" w:cs="Times New Roman"/>
                <w:bCs/>
                <w:color w:val="000000" w:themeColor="text1"/>
                <w:lang w:val="ro-MD"/>
              </w:rPr>
              <w:t>suprareglementează</w:t>
            </w:r>
            <w:proofErr w:type="spellEnd"/>
            <w:r w:rsidRPr="00D96752">
              <w:rPr>
                <w:rFonts w:ascii="Times New Roman" w:hAnsi="Times New Roman" w:cs="Times New Roman"/>
                <w:bCs/>
                <w:color w:val="000000" w:themeColor="text1"/>
                <w:lang w:val="ro-MD"/>
              </w:rPr>
              <w:t xml:space="preserve"> domeniul.</w:t>
            </w:r>
          </w:p>
        </w:tc>
      </w:tr>
    </w:tbl>
    <w:p w14:paraId="160829AF" w14:textId="77777777" w:rsidR="00C75135" w:rsidRPr="00AC08C7" w:rsidRDefault="00C75135">
      <w:pPr>
        <w:rPr>
          <w:lang w:val="ro-MD"/>
        </w:rPr>
      </w:pPr>
    </w:p>
    <w:sectPr w:rsidR="00C75135" w:rsidRPr="00AC08C7" w:rsidSect="002340E1">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610D" w14:textId="77777777" w:rsidR="00716DAB" w:rsidRDefault="00716DAB" w:rsidP="00716DAB">
      <w:pPr>
        <w:spacing w:after="0" w:line="240" w:lineRule="auto"/>
      </w:pPr>
      <w:r>
        <w:separator/>
      </w:r>
    </w:p>
  </w:endnote>
  <w:endnote w:type="continuationSeparator" w:id="0">
    <w:p w14:paraId="20E7A336" w14:textId="77777777" w:rsidR="00716DAB" w:rsidRDefault="00716DAB" w:rsidP="0071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299A" w14:textId="045391A1" w:rsidR="00716DAB" w:rsidRDefault="00B3623A">
    <w:pPr>
      <w:pStyle w:val="Footer"/>
    </w:pPr>
    <w:r>
      <w:rPr>
        <w:noProof/>
        <w14:ligatures w14:val="standardContextual"/>
      </w:rPr>
      <mc:AlternateContent>
        <mc:Choice Requires="wps">
          <w:drawing>
            <wp:anchor distT="0" distB="0" distL="0" distR="0" simplePos="0" relativeHeight="251662336" behindDoc="0" locked="0" layoutInCell="1" allowOverlap="1" wp14:anchorId="15067521" wp14:editId="1AAFB62D">
              <wp:simplePos x="635" y="635"/>
              <wp:positionH relativeFrom="page">
                <wp:align>center</wp:align>
              </wp:positionH>
              <wp:positionV relativeFrom="page">
                <wp:align>bottom</wp:align>
              </wp:positionV>
              <wp:extent cx="443865" cy="443865"/>
              <wp:effectExtent l="0" t="0" r="4445" b="0"/>
              <wp:wrapNone/>
              <wp:docPr id="11" name="Text Box 11"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A3864" w14:textId="13A20D0D"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67521" id="_x0000_t202" coordsize="21600,21600" o:spt="202" path="m,l,21600r21600,l21600,xe">
              <v:stroke joinstyle="miter"/>
              <v:path gradientshapeok="t" o:connecttype="rect"/>
            </v:shapetype>
            <v:shape id="Text Box 11"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2A8A3864" w14:textId="13A20D0D"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2A15" w14:textId="31FAB4F2" w:rsidR="00716DAB" w:rsidRPr="001F53A9" w:rsidRDefault="00716DAB" w:rsidP="00716DAB">
    <w:pPr>
      <w:pStyle w:val="Footer"/>
      <w:jc w:val="center"/>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B39" w14:textId="63656D58" w:rsidR="00716DAB" w:rsidRDefault="00B3623A">
    <w:pPr>
      <w:pStyle w:val="Footer"/>
    </w:pPr>
    <w:r>
      <w:rPr>
        <w:noProof/>
        <w14:ligatures w14:val="standardContextual"/>
      </w:rPr>
      <mc:AlternateContent>
        <mc:Choice Requires="wps">
          <w:drawing>
            <wp:anchor distT="0" distB="0" distL="0" distR="0" simplePos="0" relativeHeight="251661312" behindDoc="0" locked="0" layoutInCell="1" allowOverlap="1" wp14:anchorId="4520BFCE" wp14:editId="04BF965E">
              <wp:simplePos x="635" y="635"/>
              <wp:positionH relativeFrom="page">
                <wp:align>center</wp:align>
              </wp:positionH>
              <wp:positionV relativeFrom="page">
                <wp:align>bottom</wp:align>
              </wp:positionV>
              <wp:extent cx="443865" cy="443865"/>
              <wp:effectExtent l="0" t="0" r="4445" b="0"/>
              <wp:wrapNone/>
              <wp:docPr id="10" name="Text Box 10"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C601E" w14:textId="60001692"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0BFCE" id="_x0000_t202" coordsize="21600,21600" o:spt="202" path="m,l,21600r21600,l21600,xe">
              <v:stroke joinstyle="miter"/>
              <v:path gradientshapeok="t" o:connecttype="rect"/>
            </v:shapetype>
            <v:shape id="Text Box 10" o:spid="_x0000_s1031"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0FFC601E" w14:textId="60001692"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CB4B" w14:textId="77777777" w:rsidR="00716DAB" w:rsidRDefault="00716DAB" w:rsidP="00716DAB">
      <w:pPr>
        <w:spacing w:after="0" w:line="240" w:lineRule="auto"/>
      </w:pPr>
      <w:r>
        <w:separator/>
      </w:r>
    </w:p>
  </w:footnote>
  <w:footnote w:type="continuationSeparator" w:id="0">
    <w:p w14:paraId="6C57BF4D" w14:textId="77777777" w:rsidR="00716DAB" w:rsidRDefault="00716DAB" w:rsidP="0071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DF05" w14:textId="41F3571B" w:rsidR="00716DAB" w:rsidRDefault="00B3623A">
    <w:pPr>
      <w:pStyle w:val="Header"/>
    </w:pPr>
    <w:r>
      <w:rPr>
        <w:noProof/>
        <w14:ligatures w14:val="standardContextual"/>
      </w:rPr>
      <mc:AlternateContent>
        <mc:Choice Requires="wps">
          <w:drawing>
            <wp:anchor distT="0" distB="0" distL="0" distR="0" simplePos="0" relativeHeight="251659264" behindDoc="0" locked="0" layoutInCell="1" allowOverlap="1" wp14:anchorId="2F617ACE" wp14:editId="73A98271">
              <wp:simplePos x="635" y="635"/>
              <wp:positionH relativeFrom="page">
                <wp:align>right</wp:align>
              </wp:positionH>
              <wp:positionV relativeFrom="page">
                <wp:align>top</wp:align>
              </wp:positionV>
              <wp:extent cx="443865" cy="443865"/>
              <wp:effectExtent l="0" t="0" r="0" b="8890"/>
              <wp:wrapNone/>
              <wp:docPr id="6" name="Text Box 6"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7FF07" w14:textId="7C6F8170"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617ACE" id="_x0000_t202" coordsize="21600,21600" o:spt="202" path="m,l,21600r21600,l21600,xe">
              <v:stroke joinstyle="miter"/>
              <v:path gradientshapeok="t" o:connecttype="rect"/>
            </v:shapetype>
            <v:shape id="Text Box 6"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F27FF07" w14:textId="7C6F8170"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708A" w14:textId="69AD54C2" w:rsidR="00716DAB" w:rsidRDefault="00716DAB" w:rsidP="00716DA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1965" w14:textId="23CCBA30" w:rsidR="00716DAB" w:rsidRDefault="00B3623A">
    <w:pPr>
      <w:pStyle w:val="Header"/>
    </w:pPr>
    <w:r>
      <w:rPr>
        <w:noProof/>
        <w14:ligatures w14:val="standardContextual"/>
      </w:rPr>
      <mc:AlternateContent>
        <mc:Choice Requires="wps">
          <w:drawing>
            <wp:anchor distT="0" distB="0" distL="0" distR="0" simplePos="0" relativeHeight="251658240" behindDoc="0" locked="0" layoutInCell="1" allowOverlap="1" wp14:anchorId="000F7E1C" wp14:editId="39EB8673">
              <wp:simplePos x="635" y="635"/>
              <wp:positionH relativeFrom="page">
                <wp:align>right</wp:align>
              </wp:positionH>
              <wp:positionV relativeFrom="page">
                <wp:align>top</wp:align>
              </wp:positionV>
              <wp:extent cx="443865" cy="443865"/>
              <wp:effectExtent l="0" t="0" r="0" b="8890"/>
              <wp:wrapNone/>
              <wp:docPr id="5" name="Text Box 5"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D7F5A" w14:textId="266B5592"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0F7E1C" id="_x0000_t202" coordsize="21600,21600" o:spt="202" path="m,l,21600r21600,l21600,xe">
              <v:stroke joinstyle="miter"/>
              <v:path gradientshapeok="t" o:connecttype="rect"/>
            </v:shapetype>
            <v:shape id="Text Box 5" o:spid="_x0000_s1030"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22DD7F5A" w14:textId="266B5592"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5591"/>
    <w:multiLevelType w:val="multilevel"/>
    <w:tmpl w:val="FE943D6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203E48"/>
    <w:multiLevelType w:val="hybridMultilevel"/>
    <w:tmpl w:val="FC06172C"/>
    <w:lvl w:ilvl="0" w:tplc="0C6A90E4">
      <w:start w:val="3"/>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375B5470"/>
    <w:multiLevelType w:val="multilevel"/>
    <w:tmpl w:val="12B8A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394E76"/>
    <w:multiLevelType w:val="multilevel"/>
    <w:tmpl w:val="1C961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lang w:val="ro-M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7625705">
    <w:abstractNumId w:val="0"/>
  </w:num>
  <w:num w:numId="2" w16cid:durableId="1181504907">
    <w:abstractNumId w:val="1"/>
  </w:num>
  <w:num w:numId="3" w16cid:durableId="960187342">
    <w:abstractNumId w:val="3"/>
  </w:num>
  <w:num w:numId="4" w16cid:durableId="40064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04"/>
    <w:rsid w:val="00000EFD"/>
    <w:rsid w:val="00002824"/>
    <w:rsid w:val="00003578"/>
    <w:rsid w:val="00005836"/>
    <w:rsid w:val="00005AFE"/>
    <w:rsid w:val="000070C9"/>
    <w:rsid w:val="000137E3"/>
    <w:rsid w:val="00016086"/>
    <w:rsid w:val="00020CC4"/>
    <w:rsid w:val="00021ECF"/>
    <w:rsid w:val="00027FE6"/>
    <w:rsid w:val="00041A7F"/>
    <w:rsid w:val="00046244"/>
    <w:rsid w:val="0005424B"/>
    <w:rsid w:val="00060A1B"/>
    <w:rsid w:val="00062473"/>
    <w:rsid w:val="00065E0E"/>
    <w:rsid w:val="00072A0D"/>
    <w:rsid w:val="000731C4"/>
    <w:rsid w:val="0009072F"/>
    <w:rsid w:val="00090A3E"/>
    <w:rsid w:val="00092C36"/>
    <w:rsid w:val="000A2F4D"/>
    <w:rsid w:val="000A4BEC"/>
    <w:rsid w:val="000A4F46"/>
    <w:rsid w:val="000B37D7"/>
    <w:rsid w:val="000D1842"/>
    <w:rsid w:val="000E185D"/>
    <w:rsid w:val="000E2353"/>
    <w:rsid w:val="000E2B18"/>
    <w:rsid w:val="000E4858"/>
    <w:rsid w:val="000F1D98"/>
    <w:rsid w:val="000F7820"/>
    <w:rsid w:val="00116E4A"/>
    <w:rsid w:val="0012568D"/>
    <w:rsid w:val="00137743"/>
    <w:rsid w:val="0014013A"/>
    <w:rsid w:val="00145423"/>
    <w:rsid w:val="001461D3"/>
    <w:rsid w:val="00170D1C"/>
    <w:rsid w:val="0017292A"/>
    <w:rsid w:val="001732B3"/>
    <w:rsid w:val="0018380A"/>
    <w:rsid w:val="0018631A"/>
    <w:rsid w:val="00191B09"/>
    <w:rsid w:val="001926F1"/>
    <w:rsid w:val="00194347"/>
    <w:rsid w:val="001A2A38"/>
    <w:rsid w:val="001A47C7"/>
    <w:rsid w:val="001A5FC4"/>
    <w:rsid w:val="001B314E"/>
    <w:rsid w:val="001B373A"/>
    <w:rsid w:val="001B5CFC"/>
    <w:rsid w:val="001B5F8F"/>
    <w:rsid w:val="001D5DA4"/>
    <w:rsid w:val="001D784B"/>
    <w:rsid w:val="001E0D0B"/>
    <w:rsid w:val="001F32AB"/>
    <w:rsid w:val="001F53A9"/>
    <w:rsid w:val="001F5B60"/>
    <w:rsid w:val="001F7164"/>
    <w:rsid w:val="00201528"/>
    <w:rsid w:val="002051E7"/>
    <w:rsid w:val="00220AF3"/>
    <w:rsid w:val="00222034"/>
    <w:rsid w:val="00223065"/>
    <w:rsid w:val="002301B4"/>
    <w:rsid w:val="00230FBD"/>
    <w:rsid w:val="002340E1"/>
    <w:rsid w:val="0023469D"/>
    <w:rsid w:val="002348DE"/>
    <w:rsid w:val="00237886"/>
    <w:rsid w:val="0024293D"/>
    <w:rsid w:val="00243154"/>
    <w:rsid w:val="0024499E"/>
    <w:rsid w:val="00246BAB"/>
    <w:rsid w:val="00251A3F"/>
    <w:rsid w:val="00280100"/>
    <w:rsid w:val="002843DF"/>
    <w:rsid w:val="002A018A"/>
    <w:rsid w:val="002A69AA"/>
    <w:rsid w:val="002A6E8A"/>
    <w:rsid w:val="002B6BE8"/>
    <w:rsid w:val="002E1983"/>
    <w:rsid w:val="002F7561"/>
    <w:rsid w:val="002F785E"/>
    <w:rsid w:val="00305BF7"/>
    <w:rsid w:val="00314DC4"/>
    <w:rsid w:val="00320910"/>
    <w:rsid w:val="00326451"/>
    <w:rsid w:val="00332C04"/>
    <w:rsid w:val="0033585D"/>
    <w:rsid w:val="00350564"/>
    <w:rsid w:val="00350ADA"/>
    <w:rsid w:val="00352987"/>
    <w:rsid w:val="0038429B"/>
    <w:rsid w:val="0039223F"/>
    <w:rsid w:val="003A6646"/>
    <w:rsid w:val="003A71B9"/>
    <w:rsid w:val="003D2F9B"/>
    <w:rsid w:val="003E392E"/>
    <w:rsid w:val="003F489C"/>
    <w:rsid w:val="00422F16"/>
    <w:rsid w:val="00426378"/>
    <w:rsid w:val="0043485E"/>
    <w:rsid w:val="00464813"/>
    <w:rsid w:val="00482F7C"/>
    <w:rsid w:val="00483361"/>
    <w:rsid w:val="004861AC"/>
    <w:rsid w:val="004931B6"/>
    <w:rsid w:val="004956A6"/>
    <w:rsid w:val="004A6E49"/>
    <w:rsid w:val="004B67FC"/>
    <w:rsid w:val="004C0941"/>
    <w:rsid w:val="004C1581"/>
    <w:rsid w:val="004C18EE"/>
    <w:rsid w:val="004C6284"/>
    <w:rsid w:val="004C720B"/>
    <w:rsid w:val="004D1A0E"/>
    <w:rsid w:val="004D440E"/>
    <w:rsid w:val="004E12DB"/>
    <w:rsid w:val="004E7DAF"/>
    <w:rsid w:val="004F220B"/>
    <w:rsid w:val="00510692"/>
    <w:rsid w:val="00512C2C"/>
    <w:rsid w:val="00521179"/>
    <w:rsid w:val="00522AEC"/>
    <w:rsid w:val="00531CDD"/>
    <w:rsid w:val="00533010"/>
    <w:rsid w:val="0053573A"/>
    <w:rsid w:val="005375D2"/>
    <w:rsid w:val="0056324C"/>
    <w:rsid w:val="00567C92"/>
    <w:rsid w:val="0057484F"/>
    <w:rsid w:val="005A0034"/>
    <w:rsid w:val="005A02AC"/>
    <w:rsid w:val="005A67FF"/>
    <w:rsid w:val="005A7723"/>
    <w:rsid w:val="005B62E0"/>
    <w:rsid w:val="005B68B4"/>
    <w:rsid w:val="005B7A23"/>
    <w:rsid w:val="005C78E6"/>
    <w:rsid w:val="005E53E6"/>
    <w:rsid w:val="005F5F47"/>
    <w:rsid w:val="0060086D"/>
    <w:rsid w:val="00621D80"/>
    <w:rsid w:val="00627361"/>
    <w:rsid w:val="00633127"/>
    <w:rsid w:val="00636346"/>
    <w:rsid w:val="00670708"/>
    <w:rsid w:val="006767F5"/>
    <w:rsid w:val="00680582"/>
    <w:rsid w:val="00693821"/>
    <w:rsid w:val="00695ADA"/>
    <w:rsid w:val="006A172A"/>
    <w:rsid w:val="006A3B3A"/>
    <w:rsid w:val="006B3E23"/>
    <w:rsid w:val="006D1381"/>
    <w:rsid w:val="006D62F0"/>
    <w:rsid w:val="006D69C3"/>
    <w:rsid w:val="006E7BDA"/>
    <w:rsid w:val="00703DC9"/>
    <w:rsid w:val="00707DAF"/>
    <w:rsid w:val="00716DAB"/>
    <w:rsid w:val="00744DB7"/>
    <w:rsid w:val="0077404A"/>
    <w:rsid w:val="007825C3"/>
    <w:rsid w:val="00792DDA"/>
    <w:rsid w:val="007955FA"/>
    <w:rsid w:val="007A5744"/>
    <w:rsid w:val="007B2667"/>
    <w:rsid w:val="007B2BE7"/>
    <w:rsid w:val="007C6E3D"/>
    <w:rsid w:val="0081173A"/>
    <w:rsid w:val="00811DCB"/>
    <w:rsid w:val="00812DFE"/>
    <w:rsid w:val="00815C5F"/>
    <w:rsid w:val="00816196"/>
    <w:rsid w:val="00822190"/>
    <w:rsid w:val="008239F6"/>
    <w:rsid w:val="0084591F"/>
    <w:rsid w:val="00854B07"/>
    <w:rsid w:val="008868E5"/>
    <w:rsid w:val="008A15CB"/>
    <w:rsid w:val="008A1D74"/>
    <w:rsid w:val="008B2AFA"/>
    <w:rsid w:val="008B3310"/>
    <w:rsid w:val="008B5213"/>
    <w:rsid w:val="008C00B4"/>
    <w:rsid w:val="008C531D"/>
    <w:rsid w:val="008E16E0"/>
    <w:rsid w:val="008F14C9"/>
    <w:rsid w:val="008F58EB"/>
    <w:rsid w:val="00901AAE"/>
    <w:rsid w:val="009058FD"/>
    <w:rsid w:val="009203E1"/>
    <w:rsid w:val="00923C3F"/>
    <w:rsid w:val="009369FF"/>
    <w:rsid w:val="00951D3F"/>
    <w:rsid w:val="00966CEB"/>
    <w:rsid w:val="00972751"/>
    <w:rsid w:val="00992B52"/>
    <w:rsid w:val="009D1982"/>
    <w:rsid w:val="009D5FE4"/>
    <w:rsid w:val="009E247F"/>
    <w:rsid w:val="009E6EE1"/>
    <w:rsid w:val="009F6C63"/>
    <w:rsid w:val="00A03AD9"/>
    <w:rsid w:val="00A12CF1"/>
    <w:rsid w:val="00A42417"/>
    <w:rsid w:val="00A50816"/>
    <w:rsid w:val="00A52162"/>
    <w:rsid w:val="00A55E6A"/>
    <w:rsid w:val="00A6200B"/>
    <w:rsid w:val="00A6453C"/>
    <w:rsid w:val="00A645D4"/>
    <w:rsid w:val="00A73F6D"/>
    <w:rsid w:val="00A9310E"/>
    <w:rsid w:val="00A9690E"/>
    <w:rsid w:val="00A97ECB"/>
    <w:rsid w:val="00AA0E86"/>
    <w:rsid w:val="00AA35BF"/>
    <w:rsid w:val="00AA3CB5"/>
    <w:rsid w:val="00AB454F"/>
    <w:rsid w:val="00AB5B26"/>
    <w:rsid w:val="00AB6A67"/>
    <w:rsid w:val="00AC08C7"/>
    <w:rsid w:val="00AC7E2B"/>
    <w:rsid w:val="00AD163D"/>
    <w:rsid w:val="00AD5639"/>
    <w:rsid w:val="00AE05A4"/>
    <w:rsid w:val="00AE31EC"/>
    <w:rsid w:val="00B02DCB"/>
    <w:rsid w:val="00B040F5"/>
    <w:rsid w:val="00B052FA"/>
    <w:rsid w:val="00B06441"/>
    <w:rsid w:val="00B067D7"/>
    <w:rsid w:val="00B06998"/>
    <w:rsid w:val="00B06CCF"/>
    <w:rsid w:val="00B14BF1"/>
    <w:rsid w:val="00B16829"/>
    <w:rsid w:val="00B34D60"/>
    <w:rsid w:val="00B3526D"/>
    <w:rsid w:val="00B3623A"/>
    <w:rsid w:val="00B42316"/>
    <w:rsid w:val="00B56D05"/>
    <w:rsid w:val="00B6783C"/>
    <w:rsid w:val="00B8056D"/>
    <w:rsid w:val="00B80A00"/>
    <w:rsid w:val="00B84B91"/>
    <w:rsid w:val="00B97687"/>
    <w:rsid w:val="00BB7974"/>
    <w:rsid w:val="00BC5EB5"/>
    <w:rsid w:val="00BC6245"/>
    <w:rsid w:val="00BD0548"/>
    <w:rsid w:val="00BD1D93"/>
    <w:rsid w:val="00BD2354"/>
    <w:rsid w:val="00BD3A90"/>
    <w:rsid w:val="00BF376B"/>
    <w:rsid w:val="00BF48CB"/>
    <w:rsid w:val="00BF6DB3"/>
    <w:rsid w:val="00C02C2A"/>
    <w:rsid w:val="00C153CC"/>
    <w:rsid w:val="00C1591B"/>
    <w:rsid w:val="00C15FBB"/>
    <w:rsid w:val="00C31477"/>
    <w:rsid w:val="00C326AB"/>
    <w:rsid w:val="00C37DAD"/>
    <w:rsid w:val="00C40199"/>
    <w:rsid w:val="00C411D1"/>
    <w:rsid w:val="00C5104F"/>
    <w:rsid w:val="00C511B4"/>
    <w:rsid w:val="00C70FEA"/>
    <w:rsid w:val="00C72332"/>
    <w:rsid w:val="00C75135"/>
    <w:rsid w:val="00C775E4"/>
    <w:rsid w:val="00CB614B"/>
    <w:rsid w:val="00CC362A"/>
    <w:rsid w:val="00CC7033"/>
    <w:rsid w:val="00CC70B9"/>
    <w:rsid w:val="00CD0248"/>
    <w:rsid w:val="00CD299B"/>
    <w:rsid w:val="00CD6474"/>
    <w:rsid w:val="00CD6E50"/>
    <w:rsid w:val="00CD6F5C"/>
    <w:rsid w:val="00CF2A62"/>
    <w:rsid w:val="00D0090A"/>
    <w:rsid w:val="00D01157"/>
    <w:rsid w:val="00D129FA"/>
    <w:rsid w:val="00D13CF9"/>
    <w:rsid w:val="00D143BF"/>
    <w:rsid w:val="00D16345"/>
    <w:rsid w:val="00D33A79"/>
    <w:rsid w:val="00D376B7"/>
    <w:rsid w:val="00D5251F"/>
    <w:rsid w:val="00D66AD2"/>
    <w:rsid w:val="00D87FC9"/>
    <w:rsid w:val="00D901DD"/>
    <w:rsid w:val="00D92794"/>
    <w:rsid w:val="00D96752"/>
    <w:rsid w:val="00D96A6E"/>
    <w:rsid w:val="00DA3FCD"/>
    <w:rsid w:val="00DA739B"/>
    <w:rsid w:val="00DB1001"/>
    <w:rsid w:val="00DB3428"/>
    <w:rsid w:val="00DB50E7"/>
    <w:rsid w:val="00DC6494"/>
    <w:rsid w:val="00DD0C65"/>
    <w:rsid w:val="00DD47D7"/>
    <w:rsid w:val="00DE21DF"/>
    <w:rsid w:val="00DE76A0"/>
    <w:rsid w:val="00DF7588"/>
    <w:rsid w:val="00E15F97"/>
    <w:rsid w:val="00E21CB1"/>
    <w:rsid w:val="00E27D2A"/>
    <w:rsid w:val="00E30790"/>
    <w:rsid w:val="00E32625"/>
    <w:rsid w:val="00E36943"/>
    <w:rsid w:val="00E42428"/>
    <w:rsid w:val="00E47346"/>
    <w:rsid w:val="00E61307"/>
    <w:rsid w:val="00E63C25"/>
    <w:rsid w:val="00EA40F2"/>
    <w:rsid w:val="00EA6AA1"/>
    <w:rsid w:val="00EA7C09"/>
    <w:rsid w:val="00EA7FAB"/>
    <w:rsid w:val="00EB04C3"/>
    <w:rsid w:val="00ED01CA"/>
    <w:rsid w:val="00ED1D32"/>
    <w:rsid w:val="00ED3A60"/>
    <w:rsid w:val="00ED5DCE"/>
    <w:rsid w:val="00EE377D"/>
    <w:rsid w:val="00EE726C"/>
    <w:rsid w:val="00F10A21"/>
    <w:rsid w:val="00F257F0"/>
    <w:rsid w:val="00F2779A"/>
    <w:rsid w:val="00F310CB"/>
    <w:rsid w:val="00F34E99"/>
    <w:rsid w:val="00F411B2"/>
    <w:rsid w:val="00F42D42"/>
    <w:rsid w:val="00F5258A"/>
    <w:rsid w:val="00F62243"/>
    <w:rsid w:val="00F67758"/>
    <w:rsid w:val="00F726D2"/>
    <w:rsid w:val="00F9015C"/>
    <w:rsid w:val="00F90F35"/>
    <w:rsid w:val="00F970F5"/>
    <w:rsid w:val="00F971EE"/>
    <w:rsid w:val="00FA33DF"/>
    <w:rsid w:val="00FB3B3E"/>
    <w:rsid w:val="00FB4B38"/>
    <w:rsid w:val="00FB4E0A"/>
    <w:rsid w:val="00FC5EFD"/>
    <w:rsid w:val="00FD14BF"/>
    <w:rsid w:val="00FD60E8"/>
    <w:rsid w:val="00FD6D0B"/>
    <w:rsid w:val="00FF30DF"/>
    <w:rsid w:val="00FF4D13"/>
    <w:rsid w:val="00FF7A9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B836B"/>
  <w15:chartTrackingRefBased/>
  <w15:docId w15:val="{D7F3C33D-C9B9-46D3-BA4E-D3BB44B6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E1"/>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BF7"/>
    <w:rPr>
      <w:color w:val="0563C1" w:themeColor="hyperlink"/>
      <w:u w:val="single"/>
    </w:rPr>
  </w:style>
  <w:style w:type="character" w:styleId="UnresolvedMention">
    <w:name w:val="Unresolved Mention"/>
    <w:basedOn w:val="DefaultParagraphFont"/>
    <w:uiPriority w:val="99"/>
    <w:semiHidden/>
    <w:unhideWhenUsed/>
    <w:rsid w:val="00305BF7"/>
    <w:rPr>
      <w:color w:val="605E5C"/>
      <w:shd w:val="clear" w:color="auto" w:fill="E1DFDD"/>
    </w:rPr>
  </w:style>
  <w:style w:type="paragraph" w:styleId="ListParagraph">
    <w:name w:val="List Paragraph"/>
    <w:basedOn w:val="Normal"/>
    <w:uiPriority w:val="34"/>
    <w:qFormat/>
    <w:rsid w:val="00636346"/>
    <w:pPr>
      <w:ind w:left="720"/>
      <w:contextualSpacing/>
    </w:pPr>
  </w:style>
  <w:style w:type="paragraph" w:styleId="Header">
    <w:name w:val="header"/>
    <w:basedOn w:val="Normal"/>
    <w:link w:val="HeaderChar"/>
    <w:uiPriority w:val="99"/>
    <w:unhideWhenUsed/>
    <w:rsid w:val="00716DAB"/>
    <w:pPr>
      <w:tabs>
        <w:tab w:val="center" w:pos="4677"/>
        <w:tab w:val="right" w:pos="9355"/>
      </w:tabs>
      <w:spacing w:after="0" w:line="240" w:lineRule="auto"/>
    </w:pPr>
  </w:style>
  <w:style w:type="character" w:customStyle="1" w:styleId="HeaderChar">
    <w:name w:val="Header Char"/>
    <w:basedOn w:val="DefaultParagraphFont"/>
    <w:link w:val="Header"/>
    <w:uiPriority w:val="99"/>
    <w:rsid w:val="00716DAB"/>
    <w:rPr>
      <w:kern w:val="0"/>
      <w:lang w:val="en-US"/>
      <w14:ligatures w14:val="none"/>
    </w:rPr>
  </w:style>
  <w:style w:type="paragraph" w:styleId="Footer">
    <w:name w:val="footer"/>
    <w:basedOn w:val="Normal"/>
    <w:link w:val="FooterChar"/>
    <w:uiPriority w:val="99"/>
    <w:unhideWhenUsed/>
    <w:rsid w:val="00716DAB"/>
    <w:pPr>
      <w:tabs>
        <w:tab w:val="center" w:pos="4677"/>
        <w:tab w:val="right" w:pos="9355"/>
      </w:tabs>
      <w:spacing w:after="0" w:line="240" w:lineRule="auto"/>
    </w:pPr>
  </w:style>
  <w:style w:type="character" w:customStyle="1" w:styleId="FooterChar">
    <w:name w:val="Footer Char"/>
    <w:basedOn w:val="DefaultParagraphFont"/>
    <w:link w:val="Footer"/>
    <w:uiPriority w:val="99"/>
    <w:rsid w:val="00716DAB"/>
    <w:rPr>
      <w:kern w:val="0"/>
      <w:lang w:val="en-US"/>
      <w14:ligatures w14:val="none"/>
    </w:rPr>
  </w:style>
  <w:style w:type="paragraph" w:styleId="Revision">
    <w:name w:val="Revision"/>
    <w:hidden/>
    <w:uiPriority w:val="99"/>
    <w:semiHidden/>
    <w:rsid w:val="00422F16"/>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C40199"/>
    <w:rPr>
      <w:sz w:val="16"/>
      <w:szCs w:val="16"/>
    </w:rPr>
  </w:style>
  <w:style w:type="paragraph" w:styleId="CommentText">
    <w:name w:val="annotation text"/>
    <w:basedOn w:val="Normal"/>
    <w:link w:val="CommentTextChar"/>
    <w:uiPriority w:val="99"/>
    <w:unhideWhenUsed/>
    <w:rsid w:val="00C40199"/>
    <w:pPr>
      <w:spacing w:line="240" w:lineRule="auto"/>
    </w:pPr>
    <w:rPr>
      <w:sz w:val="20"/>
      <w:szCs w:val="20"/>
    </w:rPr>
  </w:style>
  <w:style w:type="character" w:customStyle="1" w:styleId="CommentTextChar">
    <w:name w:val="Comment Text Char"/>
    <w:basedOn w:val="DefaultParagraphFont"/>
    <w:link w:val="CommentText"/>
    <w:uiPriority w:val="99"/>
    <w:rsid w:val="00C4019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0199"/>
    <w:rPr>
      <w:b/>
      <w:bCs/>
    </w:rPr>
  </w:style>
  <w:style w:type="character" w:customStyle="1" w:styleId="CommentSubjectChar">
    <w:name w:val="Comment Subject Char"/>
    <w:basedOn w:val="CommentTextChar"/>
    <w:link w:val="CommentSubject"/>
    <w:uiPriority w:val="99"/>
    <w:semiHidden/>
    <w:rsid w:val="00C40199"/>
    <w:rPr>
      <w:b/>
      <w:bCs/>
      <w:kern w:val="0"/>
      <w:sz w:val="20"/>
      <w:szCs w:val="20"/>
      <w:lang w:val="en-US"/>
      <w14:ligatures w14:val="none"/>
    </w:rPr>
  </w:style>
  <w:style w:type="paragraph" w:customStyle="1" w:styleId="pf0">
    <w:name w:val="pf0"/>
    <w:basedOn w:val="Normal"/>
    <w:rsid w:val="00FF7A9D"/>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cf01">
    <w:name w:val="cf01"/>
    <w:basedOn w:val="DefaultParagraphFont"/>
    <w:rsid w:val="00FF7A9D"/>
    <w:rPr>
      <w:rFonts w:ascii="Segoe UI" w:hAnsi="Segoe UI" w:cs="Segoe UI" w:hint="default"/>
      <w:sz w:val="18"/>
      <w:szCs w:val="18"/>
    </w:rPr>
  </w:style>
  <w:style w:type="paragraph" w:styleId="NormalWeb">
    <w:name w:val="Normal (Web)"/>
    <w:basedOn w:val="Normal"/>
    <w:uiPriority w:val="99"/>
    <w:semiHidden/>
    <w:unhideWhenUsed/>
    <w:rsid w:val="00FF7A9D"/>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cf21">
    <w:name w:val="cf21"/>
    <w:basedOn w:val="DefaultParagraphFont"/>
    <w:rsid w:val="00FF7A9D"/>
    <w:rPr>
      <w:rFonts w:ascii="Segoe UI" w:hAnsi="Segoe UI" w:cs="Segoe UI" w:hint="default"/>
      <w:sz w:val="18"/>
      <w:szCs w:val="18"/>
      <w:shd w:val="clear" w:color="auto" w:fil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36">
      <w:bodyDiv w:val="1"/>
      <w:marLeft w:val="0"/>
      <w:marRight w:val="0"/>
      <w:marTop w:val="0"/>
      <w:marBottom w:val="0"/>
      <w:divBdr>
        <w:top w:val="none" w:sz="0" w:space="0" w:color="auto"/>
        <w:left w:val="none" w:sz="0" w:space="0" w:color="auto"/>
        <w:bottom w:val="none" w:sz="0" w:space="0" w:color="auto"/>
        <w:right w:val="none" w:sz="0" w:space="0" w:color="auto"/>
      </w:divBdr>
    </w:div>
    <w:div w:id="72552490">
      <w:bodyDiv w:val="1"/>
      <w:marLeft w:val="0"/>
      <w:marRight w:val="0"/>
      <w:marTop w:val="0"/>
      <w:marBottom w:val="0"/>
      <w:divBdr>
        <w:top w:val="none" w:sz="0" w:space="0" w:color="auto"/>
        <w:left w:val="none" w:sz="0" w:space="0" w:color="auto"/>
        <w:bottom w:val="none" w:sz="0" w:space="0" w:color="auto"/>
        <w:right w:val="none" w:sz="0" w:space="0" w:color="auto"/>
      </w:divBdr>
      <w:divsChild>
        <w:div w:id="1593513488">
          <w:marLeft w:val="0"/>
          <w:marRight w:val="0"/>
          <w:marTop w:val="0"/>
          <w:marBottom w:val="0"/>
          <w:divBdr>
            <w:top w:val="none" w:sz="0" w:space="0" w:color="auto"/>
            <w:left w:val="none" w:sz="0" w:space="0" w:color="auto"/>
            <w:bottom w:val="none" w:sz="0" w:space="0" w:color="auto"/>
            <w:right w:val="none" w:sz="0" w:space="0" w:color="auto"/>
          </w:divBdr>
          <w:divsChild>
            <w:div w:id="1078408572">
              <w:marLeft w:val="0"/>
              <w:marRight w:val="0"/>
              <w:marTop w:val="0"/>
              <w:marBottom w:val="0"/>
              <w:divBdr>
                <w:top w:val="none" w:sz="0" w:space="0" w:color="auto"/>
                <w:left w:val="none" w:sz="0" w:space="0" w:color="auto"/>
                <w:bottom w:val="none" w:sz="0" w:space="0" w:color="auto"/>
                <w:right w:val="none" w:sz="0" w:space="0" w:color="auto"/>
              </w:divBdr>
              <w:divsChild>
                <w:div w:id="483469094">
                  <w:marLeft w:val="0"/>
                  <w:marRight w:val="0"/>
                  <w:marTop w:val="0"/>
                  <w:marBottom w:val="0"/>
                  <w:divBdr>
                    <w:top w:val="none" w:sz="0" w:space="0" w:color="auto"/>
                    <w:left w:val="none" w:sz="0" w:space="0" w:color="auto"/>
                    <w:bottom w:val="none" w:sz="0" w:space="0" w:color="auto"/>
                    <w:right w:val="none" w:sz="0" w:space="0" w:color="auto"/>
                  </w:divBdr>
                  <w:divsChild>
                    <w:div w:id="723602508">
                      <w:marLeft w:val="0"/>
                      <w:marRight w:val="0"/>
                      <w:marTop w:val="120"/>
                      <w:marBottom w:val="0"/>
                      <w:divBdr>
                        <w:top w:val="none" w:sz="0" w:space="0" w:color="auto"/>
                        <w:left w:val="none" w:sz="0" w:space="0" w:color="auto"/>
                        <w:bottom w:val="none" w:sz="0" w:space="0" w:color="auto"/>
                        <w:right w:val="none" w:sz="0" w:space="0" w:color="auto"/>
                      </w:divBdr>
                    </w:div>
                    <w:div w:id="436874781">
                      <w:marLeft w:val="0"/>
                      <w:marRight w:val="0"/>
                      <w:marTop w:val="0"/>
                      <w:marBottom w:val="0"/>
                      <w:divBdr>
                        <w:top w:val="none" w:sz="0" w:space="0" w:color="auto"/>
                        <w:left w:val="none" w:sz="0" w:space="0" w:color="auto"/>
                        <w:bottom w:val="none" w:sz="0" w:space="0" w:color="auto"/>
                        <w:right w:val="none" w:sz="0" w:space="0" w:color="auto"/>
                      </w:divBdr>
                    </w:div>
                  </w:divsChild>
                </w:div>
                <w:div w:id="1790469399">
                  <w:marLeft w:val="0"/>
                  <w:marRight w:val="0"/>
                  <w:marTop w:val="0"/>
                  <w:marBottom w:val="0"/>
                  <w:divBdr>
                    <w:top w:val="none" w:sz="0" w:space="0" w:color="auto"/>
                    <w:left w:val="none" w:sz="0" w:space="0" w:color="auto"/>
                    <w:bottom w:val="none" w:sz="0" w:space="0" w:color="auto"/>
                    <w:right w:val="none" w:sz="0" w:space="0" w:color="auto"/>
                  </w:divBdr>
                  <w:divsChild>
                    <w:div w:id="2093773289">
                      <w:marLeft w:val="0"/>
                      <w:marRight w:val="0"/>
                      <w:marTop w:val="120"/>
                      <w:marBottom w:val="0"/>
                      <w:divBdr>
                        <w:top w:val="none" w:sz="0" w:space="0" w:color="auto"/>
                        <w:left w:val="none" w:sz="0" w:space="0" w:color="auto"/>
                        <w:bottom w:val="none" w:sz="0" w:space="0" w:color="auto"/>
                        <w:right w:val="none" w:sz="0" w:space="0" w:color="auto"/>
                      </w:divBdr>
                    </w:div>
                    <w:div w:id="5070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769">
      <w:bodyDiv w:val="1"/>
      <w:marLeft w:val="0"/>
      <w:marRight w:val="0"/>
      <w:marTop w:val="0"/>
      <w:marBottom w:val="0"/>
      <w:divBdr>
        <w:top w:val="none" w:sz="0" w:space="0" w:color="auto"/>
        <w:left w:val="none" w:sz="0" w:space="0" w:color="auto"/>
        <w:bottom w:val="none" w:sz="0" w:space="0" w:color="auto"/>
        <w:right w:val="none" w:sz="0" w:space="0" w:color="auto"/>
      </w:divBdr>
      <w:divsChild>
        <w:div w:id="882474523">
          <w:marLeft w:val="0"/>
          <w:marRight w:val="0"/>
          <w:marTop w:val="0"/>
          <w:marBottom w:val="0"/>
          <w:divBdr>
            <w:top w:val="none" w:sz="0" w:space="0" w:color="auto"/>
            <w:left w:val="none" w:sz="0" w:space="0" w:color="auto"/>
            <w:bottom w:val="none" w:sz="0" w:space="0" w:color="auto"/>
            <w:right w:val="none" w:sz="0" w:space="0" w:color="auto"/>
          </w:divBdr>
          <w:divsChild>
            <w:div w:id="545219649">
              <w:marLeft w:val="0"/>
              <w:marRight w:val="0"/>
              <w:marTop w:val="0"/>
              <w:marBottom w:val="0"/>
              <w:divBdr>
                <w:top w:val="none" w:sz="0" w:space="0" w:color="auto"/>
                <w:left w:val="none" w:sz="0" w:space="0" w:color="auto"/>
                <w:bottom w:val="none" w:sz="0" w:space="0" w:color="auto"/>
                <w:right w:val="none" w:sz="0" w:space="0" w:color="auto"/>
              </w:divBdr>
              <w:divsChild>
                <w:div w:id="804196267">
                  <w:marLeft w:val="0"/>
                  <w:marRight w:val="0"/>
                  <w:marTop w:val="0"/>
                  <w:marBottom w:val="0"/>
                  <w:divBdr>
                    <w:top w:val="none" w:sz="0" w:space="0" w:color="auto"/>
                    <w:left w:val="none" w:sz="0" w:space="0" w:color="auto"/>
                    <w:bottom w:val="none" w:sz="0" w:space="0" w:color="auto"/>
                    <w:right w:val="none" w:sz="0" w:space="0" w:color="auto"/>
                  </w:divBdr>
                  <w:divsChild>
                    <w:div w:id="233704097">
                      <w:marLeft w:val="0"/>
                      <w:marRight w:val="0"/>
                      <w:marTop w:val="120"/>
                      <w:marBottom w:val="0"/>
                      <w:divBdr>
                        <w:top w:val="none" w:sz="0" w:space="0" w:color="auto"/>
                        <w:left w:val="none" w:sz="0" w:space="0" w:color="auto"/>
                        <w:bottom w:val="none" w:sz="0" w:space="0" w:color="auto"/>
                        <w:right w:val="none" w:sz="0" w:space="0" w:color="auto"/>
                      </w:divBdr>
                    </w:div>
                    <w:div w:id="1034311524">
                      <w:marLeft w:val="0"/>
                      <w:marRight w:val="0"/>
                      <w:marTop w:val="0"/>
                      <w:marBottom w:val="0"/>
                      <w:divBdr>
                        <w:top w:val="none" w:sz="0" w:space="0" w:color="auto"/>
                        <w:left w:val="none" w:sz="0" w:space="0" w:color="auto"/>
                        <w:bottom w:val="none" w:sz="0" w:space="0" w:color="auto"/>
                        <w:right w:val="none" w:sz="0" w:space="0" w:color="auto"/>
                      </w:divBdr>
                    </w:div>
                  </w:divsChild>
                </w:div>
                <w:div w:id="1448431648">
                  <w:marLeft w:val="0"/>
                  <w:marRight w:val="0"/>
                  <w:marTop w:val="0"/>
                  <w:marBottom w:val="0"/>
                  <w:divBdr>
                    <w:top w:val="none" w:sz="0" w:space="0" w:color="auto"/>
                    <w:left w:val="none" w:sz="0" w:space="0" w:color="auto"/>
                    <w:bottom w:val="none" w:sz="0" w:space="0" w:color="auto"/>
                    <w:right w:val="none" w:sz="0" w:space="0" w:color="auto"/>
                  </w:divBdr>
                  <w:divsChild>
                    <w:div w:id="585070036">
                      <w:marLeft w:val="0"/>
                      <w:marRight w:val="0"/>
                      <w:marTop w:val="120"/>
                      <w:marBottom w:val="0"/>
                      <w:divBdr>
                        <w:top w:val="none" w:sz="0" w:space="0" w:color="auto"/>
                        <w:left w:val="none" w:sz="0" w:space="0" w:color="auto"/>
                        <w:bottom w:val="none" w:sz="0" w:space="0" w:color="auto"/>
                        <w:right w:val="none" w:sz="0" w:space="0" w:color="auto"/>
                      </w:divBdr>
                    </w:div>
                    <w:div w:id="1669020311">
                      <w:marLeft w:val="0"/>
                      <w:marRight w:val="0"/>
                      <w:marTop w:val="0"/>
                      <w:marBottom w:val="0"/>
                      <w:divBdr>
                        <w:top w:val="none" w:sz="0" w:space="0" w:color="auto"/>
                        <w:left w:val="none" w:sz="0" w:space="0" w:color="auto"/>
                        <w:bottom w:val="none" w:sz="0" w:space="0" w:color="auto"/>
                        <w:right w:val="none" w:sz="0" w:space="0" w:color="auto"/>
                      </w:divBdr>
                    </w:div>
                  </w:divsChild>
                </w:div>
                <w:div w:id="370695309">
                  <w:marLeft w:val="0"/>
                  <w:marRight w:val="0"/>
                  <w:marTop w:val="0"/>
                  <w:marBottom w:val="0"/>
                  <w:divBdr>
                    <w:top w:val="none" w:sz="0" w:space="0" w:color="auto"/>
                    <w:left w:val="none" w:sz="0" w:space="0" w:color="auto"/>
                    <w:bottom w:val="none" w:sz="0" w:space="0" w:color="auto"/>
                    <w:right w:val="none" w:sz="0" w:space="0" w:color="auto"/>
                  </w:divBdr>
                  <w:divsChild>
                    <w:div w:id="1764298460">
                      <w:marLeft w:val="0"/>
                      <w:marRight w:val="0"/>
                      <w:marTop w:val="120"/>
                      <w:marBottom w:val="0"/>
                      <w:divBdr>
                        <w:top w:val="none" w:sz="0" w:space="0" w:color="auto"/>
                        <w:left w:val="none" w:sz="0" w:space="0" w:color="auto"/>
                        <w:bottom w:val="none" w:sz="0" w:space="0" w:color="auto"/>
                        <w:right w:val="none" w:sz="0" w:space="0" w:color="auto"/>
                      </w:divBdr>
                    </w:div>
                    <w:div w:id="7169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3548">
      <w:bodyDiv w:val="1"/>
      <w:marLeft w:val="0"/>
      <w:marRight w:val="0"/>
      <w:marTop w:val="0"/>
      <w:marBottom w:val="0"/>
      <w:divBdr>
        <w:top w:val="none" w:sz="0" w:space="0" w:color="auto"/>
        <w:left w:val="none" w:sz="0" w:space="0" w:color="auto"/>
        <w:bottom w:val="none" w:sz="0" w:space="0" w:color="auto"/>
        <w:right w:val="none" w:sz="0" w:space="0" w:color="auto"/>
      </w:divBdr>
    </w:div>
    <w:div w:id="216165644">
      <w:bodyDiv w:val="1"/>
      <w:marLeft w:val="0"/>
      <w:marRight w:val="0"/>
      <w:marTop w:val="0"/>
      <w:marBottom w:val="0"/>
      <w:divBdr>
        <w:top w:val="none" w:sz="0" w:space="0" w:color="auto"/>
        <w:left w:val="none" w:sz="0" w:space="0" w:color="auto"/>
        <w:bottom w:val="none" w:sz="0" w:space="0" w:color="auto"/>
        <w:right w:val="none" w:sz="0" w:space="0" w:color="auto"/>
      </w:divBdr>
      <w:divsChild>
        <w:div w:id="2075739728">
          <w:marLeft w:val="0"/>
          <w:marRight w:val="0"/>
          <w:marTop w:val="0"/>
          <w:marBottom w:val="0"/>
          <w:divBdr>
            <w:top w:val="none" w:sz="0" w:space="0" w:color="auto"/>
            <w:left w:val="none" w:sz="0" w:space="0" w:color="auto"/>
            <w:bottom w:val="none" w:sz="0" w:space="0" w:color="auto"/>
            <w:right w:val="none" w:sz="0" w:space="0" w:color="auto"/>
          </w:divBdr>
        </w:div>
      </w:divsChild>
    </w:div>
    <w:div w:id="292564548">
      <w:bodyDiv w:val="1"/>
      <w:marLeft w:val="0"/>
      <w:marRight w:val="0"/>
      <w:marTop w:val="0"/>
      <w:marBottom w:val="0"/>
      <w:divBdr>
        <w:top w:val="none" w:sz="0" w:space="0" w:color="auto"/>
        <w:left w:val="none" w:sz="0" w:space="0" w:color="auto"/>
        <w:bottom w:val="none" w:sz="0" w:space="0" w:color="auto"/>
        <w:right w:val="none" w:sz="0" w:space="0" w:color="auto"/>
      </w:divBdr>
      <w:divsChild>
        <w:div w:id="1278365874">
          <w:marLeft w:val="0"/>
          <w:marRight w:val="0"/>
          <w:marTop w:val="0"/>
          <w:marBottom w:val="0"/>
          <w:divBdr>
            <w:top w:val="none" w:sz="0" w:space="0" w:color="auto"/>
            <w:left w:val="none" w:sz="0" w:space="0" w:color="auto"/>
            <w:bottom w:val="none" w:sz="0" w:space="0" w:color="auto"/>
            <w:right w:val="none" w:sz="0" w:space="0" w:color="auto"/>
          </w:divBdr>
        </w:div>
        <w:div w:id="1889032352">
          <w:marLeft w:val="0"/>
          <w:marRight w:val="0"/>
          <w:marTop w:val="0"/>
          <w:marBottom w:val="0"/>
          <w:divBdr>
            <w:top w:val="none" w:sz="0" w:space="0" w:color="auto"/>
            <w:left w:val="none" w:sz="0" w:space="0" w:color="auto"/>
            <w:bottom w:val="none" w:sz="0" w:space="0" w:color="auto"/>
            <w:right w:val="none" w:sz="0" w:space="0" w:color="auto"/>
          </w:divBdr>
          <w:divsChild>
            <w:div w:id="12705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2362">
      <w:bodyDiv w:val="1"/>
      <w:marLeft w:val="0"/>
      <w:marRight w:val="0"/>
      <w:marTop w:val="0"/>
      <w:marBottom w:val="0"/>
      <w:divBdr>
        <w:top w:val="none" w:sz="0" w:space="0" w:color="auto"/>
        <w:left w:val="none" w:sz="0" w:space="0" w:color="auto"/>
        <w:bottom w:val="none" w:sz="0" w:space="0" w:color="auto"/>
        <w:right w:val="none" w:sz="0" w:space="0" w:color="auto"/>
      </w:divBdr>
      <w:divsChild>
        <w:div w:id="1752576371">
          <w:marLeft w:val="0"/>
          <w:marRight w:val="0"/>
          <w:marTop w:val="0"/>
          <w:marBottom w:val="0"/>
          <w:divBdr>
            <w:top w:val="none" w:sz="0" w:space="0" w:color="auto"/>
            <w:left w:val="none" w:sz="0" w:space="0" w:color="auto"/>
            <w:bottom w:val="none" w:sz="0" w:space="0" w:color="auto"/>
            <w:right w:val="none" w:sz="0" w:space="0" w:color="auto"/>
          </w:divBdr>
          <w:divsChild>
            <w:div w:id="26150547">
              <w:marLeft w:val="0"/>
              <w:marRight w:val="0"/>
              <w:marTop w:val="0"/>
              <w:marBottom w:val="0"/>
              <w:divBdr>
                <w:top w:val="none" w:sz="0" w:space="0" w:color="auto"/>
                <w:left w:val="none" w:sz="0" w:space="0" w:color="auto"/>
                <w:bottom w:val="none" w:sz="0" w:space="0" w:color="auto"/>
                <w:right w:val="none" w:sz="0" w:space="0" w:color="auto"/>
              </w:divBdr>
              <w:divsChild>
                <w:div w:id="209264112">
                  <w:marLeft w:val="0"/>
                  <w:marRight w:val="0"/>
                  <w:marTop w:val="120"/>
                  <w:marBottom w:val="0"/>
                  <w:divBdr>
                    <w:top w:val="none" w:sz="0" w:space="0" w:color="auto"/>
                    <w:left w:val="none" w:sz="0" w:space="0" w:color="auto"/>
                    <w:bottom w:val="none" w:sz="0" w:space="0" w:color="auto"/>
                    <w:right w:val="none" w:sz="0" w:space="0" w:color="auto"/>
                  </w:divBdr>
                </w:div>
                <w:div w:id="2135324300">
                  <w:marLeft w:val="0"/>
                  <w:marRight w:val="0"/>
                  <w:marTop w:val="0"/>
                  <w:marBottom w:val="0"/>
                  <w:divBdr>
                    <w:top w:val="none" w:sz="0" w:space="0" w:color="auto"/>
                    <w:left w:val="none" w:sz="0" w:space="0" w:color="auto"/>
                    <w:bottom w:val="none" w:sz="0" w:space="0" w:color="auto"/>
                    <w:right w:val="none" w:sz="0" w:space="0" w:color="auto"/>
                  </w:divBdr>
                </w:div>
              </w:divsChild>
            </w:div>
            <w:div w:id="1733574565">
              <w:marLeft w:val="0"/>
              <w:marRight w:val="0"/>
              <w:marTop w:val="0"/>
              <w:marBottom w:val="0"/>
              <w:divBdr>
                <w:top w:val="none" w:sz="0" w:space="0" w:color="auto"/>
                <w:left w:val="none" w:sz="0" w:space="0" w:color="auto"/>
                <w:bottom w:val="none" w:sz="0" w:space="0" w:color="auto"/>
                <w:right w:val="none" w:sz="0" w:space="0" w:color="auto"/>
              </w:divBdr>
              <w:divsChild>
                <w:div w:id="1362591669">
                  <w:marLeft w:val="0"/>
                  <w:marRight w:val="0"/>
                  <w:marTop w:val="120"/>
                  <w:marBottom w:val="0"/>
                  <w:divBdr>
                    <w:top w:val="none" w:sz="0" w:space="0" w:color="auto"/>
                    <w:left w:val="none" w:sz="0" w:space="0" w:color="auto"/>
                    <w:bottom w:val="none" w:sz="0" w:space="0" w:color="auto"/>
                    <w:right w:val="none" w:sz="0" w:space="0" w:color="auto"/>
                  </w:divBdr>
                </w:div>
                <w:div w:id="1650205614">
                  <w:marLeft w:val="0"/>
                  <w:marRight w:val="0"/>
                  <w:marTop w:val="0"/>
                  <w:marBottom w:val="0"/>
                  <w:divBdr>
                    <w:top w:val="none" w:sz="0" w:space="0" w:color="auto"/>
                    <w:left w:val="none" w:sz="0" w:space="0" w:color="auto"/>
                    <w:bottom w:val="none" w:sz="0" w:space="0" w:color="auto"/>
                    <w:right w:val="none" w:sz="0" w:space="0" w:color="auto"/>
                  </w:divBdr>
                </w:div>
              </w:divsChild>
            </w:div>
            <w:div w:id="1771118041">
              <w:marLeft w:val="0"/>
              <w:marRight w:val="0"/>
              <w:marTop w:val="0"/>
              <w:marBottom w:val="0"/>
              <w:divBdr>
                <w:top w:val="none" w:sz="0" w:space="0" w:color="auto"/>
                <w:left w:val="none" w:sz="0" w:space="0" w:color="auto"/>
                <w:bottom w:val="none" w:sz="0" w:space="0" w:color="auto"/>
                <w:right w:val="none" w:sz="0" w:space="0" w:color="auto"/>
              </w:divBdr>
              <w:divsChild>
                <w:div w:id="1008948549">
                  <w:marLeft w:val="0"/>
                  <w:marRight w:val="0"/>
                  <w:marTop w:val="120"/>
                  <w:marBottom w:val="0"/>
                  <w:divBdr>
                    <w:top w:val="none" w:sz="0" w:space="0" w:color="auto"/>
                    <w:left w:val="none" w:sz="0" w:space="0" w:color="auto"/>
                    <w:bottom w:val="none" w:sz="0" w:space="0" w:color="auto"/>
                    <w:right w:val="none" w:sz="0" w:space="0" w:color="auto"/>
                  </w:divBdr>
                </w:div>
                <w:div w:id="1439184008">
                  <w:marLeft w:val="0"/>
                  <w:marRight w:val="0"/>
                  <w:marTop w:val="0"/>
                  <w:marBottom w:val="0"/>
                  <w:divBdr>
                    <w:top w:val="none" w:sz="0" w:space="0" w:color="auto"/>
                    <w:left w:val="none" w:sz="0" w:space="0" w:color="auto"/>
                    <w:bottom w:val="none" w:sz="0" w:space="0" w:color="auto"/>
                    <w:right w:val="none" w:sz="0" w:space="0" w:color="auto"/>
                  </w:divBdr>
                </w:div>
              </w:divsChild>
            </w:div>
            <w:div w:id="1840535657">
              <w:marLeft w:val="0"/>
              <w:marRight w:val="0"/>
              <w:marTop w:val="0"/>
              <w:marBottom w:val="0"/>
              <w:divBdr>
                <w:top w:val="none" w:sz="0" w:space="0" w:color="auto"/>
                <w:left w:val="none" w:sz="0" w:space="0" w:color="auto"/>
                <w:bottom w:val="none" w:sz="0" w:space="0" w:color="auto"/>
                <w:right w:val="none" w:sz="0" w:space="0" w:color="auto"/>
              </w:divBdr>
              <w:divsChild>
                <w:div w:id="291178441">
                  <w:marLeft w:val="0"/>
                  <w:marRight w:val="0"/>
                  <w:marTop w:val="120"/>
                  <w:marBottom w:val="0"/>
                  <w:divBdr>
                    <w:top w:val="none" w:sz="0" w:space="0" w:color="auto"/>
                    <w:left w:val="none" w:sz="0" w:space="0" w:color="auto"/>
                    <w:bottom w:val="none" w:sz="0" w:space="0" w:color="auto"/>
                    <w:right w:val="none" w:sz="0" w:space="0" w:color="auto"/>
                  </w:divBdr>
                </w:div>
                <w:div w:id="590894889">
                  <w:marLeft w:val="0"/>
                  <w:marRight w:val="0"/>
                  <w:marTop w:val="0"/>
                  <w:marBottom w:val="0"/>
                  <w:divBdr>
                    <w:top w:val="none" w:sz="0" w:space="0" w:color="auto"/>
                    <w:left w:val="none" w:sz="0" w:space="0" w:color="auto"/>
                    <w:bottom w:val="none" w:sz="0" w:space="0" w:color="auto"/>
                    <w:right w:val="none" w:sz="0" w:space="0" w:color="auto"/>
                  </w:divBdr>
                </w:div>
              </w:divsChild>
            </w:div>
            <w:div w:id="1306087197">
              <w:marLeft w:val="0"/>
              <w:marRight w:val="0"/>
              <w:marTop w:val="0"/>
              <w:marBottom w:val="0"/>
              <w:divBdr>
                <w:top w:val="none" w:sz="0" w:space="0" w:color="auto"/>
                <w:left w:val="none" w:sz="0" w:space="0" w:color="auto"/>
                <w:bottom w:val="none" w:sz="0" w:space="0" w:color="auto"/>
                <w:right w:val="none" w:sz="0" w:space="0" w:color="auto"/>
              </w:divBdr>
              <w:divsChild>
                <w:div w:id="1377005375">
                  <w:marLeft w:val="0"/>
                  <w:marRight w:val="0"/>
                  <w:marTop w:val="120"/>
                  <w:marBottom w:val="0"/>
                  <w:divBdr>
                    <w:top w:val="none" w:sz="0" w:space="0" w:color="auto"/>
                    <w:left w:val="none" w:sz="0" w:space="0" w:color="auto"/>
                    <w:bottom w:val="none" w:sz="0" w:space="0" w:color="auto"/>
                    <w:right w:val="none" w:sz="0" w:space="0" w:color="auto"/>
                  </w:divBdr>
                </w:div>
                <w:div w:id="1970235938">
                  <w:marLeft w:val="0"/>
                  <w:marRight w:val="0"/>
                  <w:marTop w:val="0"/>
                  <w:marBottom w:val="0"/>
                  <w:divBdr>
                    <w:top w:val="none" w:sz="0" w:space="0" w:color="auto"/>
                    <w:left w:val="none" w:sz="0" w:space="0" w:color="auto"/>
                    <w:bottom w:val="none" w:sz="0" w:space="0" w:color="auto"/>
                    <w:right w:val="none" w:sz="0" w:space="0" w:color="auto"/>
                  </w:divBdr>
                </w:div>
              </w:divsChild>
            </w:div>
            <w:div w:id="1826627594">
              <w:marLeft w:val="0"/>
              <w:marRight w:val="0"/>
              <w:marTop w:val="0"/>
              <w:marBottom w:val="0"/>
              <w:divBdr>
                <w:top w:val="none" w:sz="0" w:space="0" w:color="auto"/>
                <w:left w:val="none" w:sz="0" w:space="0" w:color="auto"/>
                <w:bottom w:val="none" w:sz="0" w:space="0" w:color="auto"/>
                <w:right w:val="none" w:sz="0" w:space="0" w:color="auto"/>
              </w:divBdr>
              <w:divsChild>
                <w:div w:id="579364569">
                  <w:marLeft w:val="0"/>
                  <w:marRight w:val="0"/>
                  <w:marTop w:val="120"/>
                  <w:marBottom w:val="0"/>
                  <w:divBdr>
                    <w:top w:val="none" w:sz="0" w:space="0" w:color="auto"/>
                    <w:left w:val="none" w:sz="0" w:space="0" w:color="auto"/>
                    <w:bottom w:val="none" w:sz="0" w:space="0" w:color="auto"/>
                    <w:right w:val="none" w:sz="0" w:space="0" w:color="auto"/>
                  </w:divBdr>
                </w:div>
                <w:div w:id="903956388">
                  <w:marLeft w:val="0"/>
                  <w:marRight w:val="0"/>
                  <w:marTop w:val="0"/>
                  <w:marBottom w:val="0"/>
                  <w:divBdr>
                    <w:top w:val="none" w:sz="0" w:space="0" w:color="auto"/>
                    <w:left w:val="none" w:sz="0" w:space="0" w:color="auto"/>
                    <w:bottom w:val="none" w:sz="0" w:space="0" w:color="auto"/>
                    <w:right w:val="none" w:sz="0" w:space="0" w:color="auto"/>
                  </w:divBdr>
                </w:div>
              </w:divsChild>
            </w:div>
            <w:div w:id="996810555">
              <w:marLeft w:val="0"/>
              <w:marRight w:val="0"/>
              <w:marTop w:val="0"/>
              <w:marBottom w:val="0"/>
              <w:divBdr>
                <w:top w:val="none" w:sz="0" w:space="0" w:color="auto"/>
                <w:left w:val="none" w:sz="0" w:space="0" w:color="auto"/>
                <w:bottom w:val="none" w:sz="0" w:space="0" w:color="auto"/>
                <w:right w:val="none" w:sz="0" w:space="0" w:color="auto"/>
              </w:divBdr>
              <w:divsChild>
                <w:div w:id="814298938">
                  <w:marLeft w:val="0"/>
                  <w:marRight w:val="0"/>
                  <w:marTop w:val="120"/>
                  <w:marBottom w:val="0"/>
                  <w:divBdr>
                    <w:top w:val="none" w:sz="0" w:space="0" w:color="auto"/>
                    <w:left w:val="none" w:sz="0" w:space="0" w:color="auto"/>
                    <w:bottom w:val="none" w:sz="0" w:space="0" w:color="auto"/>
                    <w:right w:val="none" w:sz="0" w:space="0" w:color="auto"/>
                  </w:divBdr>
                </w:div>
                <w:div w:id="1264455105">
                  <w:marLeft w:val="0"/>
                  <w:marRight w:val="0"/>
                  <w:marTop w:val="0"/>
                  <w:marBottom w:val="0"/>
                  <w:divBdr>
                    <w:top w:val="none" w:sz="0" w:space="0" w:color="auto"/>
                    <w:left w:val="none" w:sz="0" w:space="0" w:color="auto"/>
                    <w:bottom w:val="none" w:sz="0" w:space="0" w:color="auto"/>
                    <w:right w:val="none" w:sz="0" w:space="0" w:color="auto"/>
                  </w:divBdr>
                </w:div>
              </w:divsChild>
            </w:div>
            <w:div w:id="1043678861">
              <w:marLeft w:val="0"/>
              <w:marRight w:val="0"/>
              <w:marTop w:val="0"/>
              <w:marBottom w:val="0"/>
              <w:divBdr>
                <w:top w:val="none" w:sz="0" w:space="0" w:color="auto"/>
                <w:left w:val="none" w:sz="0" w:space="0" w:color="auto"/>
                <w:bottom w:val="none" w:sz="0" w:space="0" w:color="auto"/>
                <w:right w:val="none" w:sz="0" w:space="0" w:color="auto"/>
              </w:divBdr>
              <w:divsChild>
                <w:div w:id="667828570">
                  <w:marLeft w:val="0"/>
                  <w:marRight w:val="0"/>
                  <w:marTop w:val="120"/>
                  <w:marBottom w:val="0"/>
                  <w:divBdr>
                    <w:top w:val="none" w:sz="0" w:space="0" w:color="auto"/>
                    <w:left w:val="none" w:sz="0" w:space="0" w:color="auto"/>
                    <w:bottom w:val="none" w:sz="0" w:space="0" w:color="auto"/>
                    <w:right w:val="none" w:sz="0" w:space="0" w:color="auto"/>
                  </w:divBdr>
                </w:div>
                <w:div w:id="896359672">
                  <w:marLeft w:val="0"/>
                  <w:marRight w:val="0"/>
                  <w:marTop w:val="0"/>
                  <w:marBottom w:val="0"/>
                  <w:divBdr>
                    <w:top w:val="none" w:sz="0" w:space="0" w:color="auto"/>
                    <w:left w:val="none" w:sz="0" w:space="0" w:color="auto"/>
                    <w:bottom w:val="none" w:sz="0" w:space="0" w:color="auto"/>
                    <w:right w:val="none" w:sz="0" w:space="0" w:color="auto"/>
                  </w:divBdr>
                </w:div>
              </w:divsChild>
            </w:div>
            <w:div w:id="139931697">
              <w:marLeft w:val="0"/>
              <w:marRight w:val="0"/>
              <w:marTop w:val="0"/>
              <w:marBottom w:val="0"/>
              <w:divBdr>
                <w:top w:val="none" w:sz="0" w:space="0" w:color="auto"/>
                <w:left w:val="none" w:sz="0" w:space="0" w:color="auto"/>
                <w:bottom w:val="none" w:sz="0" w:space="0" w:color="auto"/>
                <w:right w:val="none" w:sz="0" w:space="0" w:color="auto"/>
              </w:divBdr>
              <w:divsChild>
                <w:div w:id="891892537">
                  <w:marLeft w:val="0"/>
                  <w:marRight w:val="0"/>
                  <w:marTop w:val="120"/>
                  <w:marBottom w:val="0"/>
                  <w:divBdr>
                    <w:top w:val="none" w:sz="0" w:space="0" w:color="auto"/>
                    <w:left w:val="none" w:sz="0" w:space="0" w:color="auto"/>
                    <w:bottom w:val="none" w:sz="0" w:space="0" w:color="auto"/>
                    <w:right w:val="none" w:sz="0" w:space="0" w:color="auto"/>
                  </w:divBdr>
                </w:div>
                <w:div w:id="430391981">
                  <w:marLeft w:val="0"/>
                  <w:marRight w:val="0"/>
                  <w:marTop w:val="0"/>
                  <w:marBottom w:val="0"/>
                  <w:divBdr>
                    <w:top w:val="none" w:sz="0" w:space="0" w:color="auto"/>
                    <w:left w:val="none" w:sz="0" w:space="0" w:color="auto"/>
                    <w:bottom w:val="none" w:sz="0" w:space="0" w:color="auto"/>
                    <w:right w:val="none" w:sz="0" w:space="0" w:color="auto"/>
                  </w:divBdr>
                </w:div>
              </w:divsChild>
            </w:div>
            <w:div w:id="1477145701">
              <w:marLeft w:val="0"/>
              <w:marRight w:val="0"/>
              <w:marTop w:val="0"/>
              <w:marBottom w:val="0"/>
              <w:divBdr>
                <w:top w:val="none" w:sz="0" w:space="0" w:color="auto"/>
                <w:left w:val="none" w:sz="0" w:space="0" w:color="auto"/>
                <w:bottom w:val="none" w:sz="0" w:space="0" w:color="auto"/>
                <w:right w:val="none" w:sz="0" w:space="0" w:color="auto"/>
              </w:divBdr>
              <w:divsChild>
                <w:div w:id="1560478246">
                  <w:marLeft w:val="0"/>
                  <w:marRight w:val="0"/>
                  <w:marTop w:val="120"/>
                  <w:marBottom w:val="0"/>
                  <w:divBdr>
                    <w:top w:val="none" w:sz="0" w:space="0" w:color="auto"/>
                    <w:left w:val="none" w:sz="0" w:space="0" w:color="auto"/>
                    <w:bottom w:val="none" w:sz="0" w:space="0" w:color="auto"/>
                    <w:right w:val="none" w:sz="0" w:space="0" w:color="auto"/>
                  </w:divBdr>
                </w:div>
                <w:div w:id="2127919148">
                  <w:marLeft w:val="0"/>
                  <w:marRight w:val="0"/>
                  <w:marTop w:val="0"/>
                  <w:marBottom w:val="0"/>
                  <w:divBdr>
                    <w:top w:val="none" w:sz="0" w:space="0" w:color="auto"/>
                    <w:left w:val="none" w:sz="0" w:space="0" w:color="auto"/>
                    <w:bottom w:val="none" w:sz="0" w:space="0" w:color="auto"/>
                    <w:right w:val="none" w:sz="0" w:space="0" w:color="auto"/>
                  </w:divBdr>
                </w:div>
              </w:divsChild>
            </w:div>
            <w:div w:id="102579407">
              <w:marLeft w:val="0"/>
              <w:marRight w:val="0"/>
              <w:marTop w:val="0"/>
              <w:marBottom w:val="0"/>
              <w:divBdr>
                <w:top w:val="none" w:sz="0" w:space="0" w:color="auto"/>
                <w:left w:val="none" w:sz="0" w:space="0" w:color="auto"/>
                <w:bottom w:val="none" w:sz="0" w:space="0" w:color="auto"/>
                <w:right w:val="none" w:sz="0" w:space="0" w:color="auto"/>
              </w:divBdr>
              <w:divsChild>
                <w:div w:id="1722559664">
                  <w:marLeft w:val="0"/>
                  <w:marRight w:val="0"/>
                  <w:marTop w:val="120"/>
                  <w:marBottom w:val="0"/>
                  <w:divBdr>
                    <w:top w:val="none" w:sz="0" w:space="0" w:color="auto"/>
                    <w:left w:val="none" w:sz="0" w:space="0" w:color="auto"/>
                    <w:bottom w:val="none" w:sz="0" w:space="0" w:color="auto"/>
                    <w:right w:val="none" w:sz="0" w:space="0" w:color="auto"/>
                  </w:divBdr>
                </w:div>
                <w:div w:id="16941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8645">
      <w:bodyDiv w:val="1"/>
      <w:marLeft w:val="0"/>
      <w:marRight w:val="0"/>
      <w:marTop w:val="0"/>
      <w:marBottom w:val="0"/>
      <w:divBdr>
        <w:top w:val="none" w:sz="0" w:space="0" w:color="auto"/>
        <w:left w:val="none" w:sz="0" w:space="0" w:color="auto"/>
        <w:bottom w:val="none" w:sz="0" w:space="0" w:color="auto"/>
        <w:right w:val="none" w:sz="0" w:space="0" w:color="auto"/>
      </w:divBdr>
      <w:divsChild>
        <w:div w:id="1522821251">
          <w:marLeft w:val="0"/>
          <w:marRight w:val="0"/>
          <w:marTop w:val="0"/>
          <w:marBottom w:val="0"/>
          <w:divBdr>
            <w:top w:val="none" w:sz="0" w:space="0" w:color="auto"/>
            <w:left w:val="none" w:sz="0" w:space="0" w:color="auto"/>
            <w:bottom w:val="none" w:sz="0" w:space="0" w:color="auto"/>
            <w:right w:val="none" w:sz="0" w:space="0" w:color="auto"/>
          </w:divBdr>
        </w:div>
      </w:divsChild>
    </w:div>
    <w:div w:id="413554620">
      <w:bodyDiv w:val="1"/>
      <w:marLeft w:val="0"/>
      <w:marRight w:val="0"/>
      <w:marTop w:val="0"/>
      <w:marBottom w:val="0"/>
      <w:divBdr>
        <w:top w:val="none" w:sz="0" w:space="0" w:color="auto"/>
        <w:left w:val="none" w:sz="0" w:space="0" w:color="auto"/>
        <w:bottom w:val="none" w:sz="0" w:space="0" w:color="auto"/>
        <w:right w:val="none" w:sz="0" w:space="0" w:color="auto"/>
      </w:divBdr>
    </w:div>
    <w:div w:id="425883919">
      <w:bodyDiv w:val="1"/>
      <w:marLeft w:val="0"/>
      <w:marRight w:val="0"/>
      <w:marTop w:val="0"/>
      <w:marBottom w:val="0"/>
      <w:divBdr>
        <w:top w:val="none" w:sz="0" w:space="0" w:color="auto"/>
        <w:left w:val="none" w:sz="0" w:space="0" w:color="auto"/>
        <w:bottom w:val="none" w:sz="0" w:space="0" w:color="auto"/>
        <w:right w:val="none" w:sz="0" w:space="0" w:color="auto"/>
      </w:divBdr>
      <w:divsChild>
        <w:div w:id="1352491429">
          <w:marLeft w:val="0"/>
          <w:marRight w:val="0"/>
          <w:marTop w:val="0"/>
          <w:marBottom w:val="0"/>
          <w:divBdr>
            <w:top w:val="none" w:sz="0" w:space="0" w:color="auto"/>
            <w:left w:val="none" w:sz="0" w:space="0" w:color="auto"/>
            <w:bottom w:val="none" w:sz="0" w:space="0" w:color="auto"/>
            <w:right w:val="none" w:sz="0" w:space="0" w:color="auto"/>
          </w:divBdr>
        </w:div>
      </w:divsChild>
    </w:div>
    <w:div w:id="462161863">
      <w:bodyDiv w:val="1"/>
      <w:marLeft w:val="0"/>
      <w:marRight w:val="0"/>
      <w:marTop w:val="0"/>
      <w:marBottom w:val="0"/>
      <w:divBdr>
        <w:top w:val="none" w:sz="0" w:space="0" w:color="auto"/>
        <w:left w:val="none" w:sz="0" w:space="0" w:color="auto"/>
        <w:bottom w:val="none" w:sz="0" w:space="0" w:color="auto"/>
        <w:right w:val="none" w:sz="0" w:space="0" w:color="auto"/>
      </w:divBdr>
    </w:div>
    <w:div w:id="484128539">
      <w:bodyDiv w:val="1"/>
      <w:marLeft w:val="0"/>
      <w:marRight w:val="0"/>
      <w:marTop w:val="0"/>
      <w:marBottom w:val="0"/>
      <w:divBdr>
        <w:top w:val="none" w:sz="0" w:space="0" w:color="auto"/>
        <w:left w:val="none" w:sz="0" w:space="0" w:color="auto"/>
        <w:bottom w:val="none" w:sz="0" w:space="0" w:color="auto"/>
        <w:right w:val="none" w:sz="0" w:space="0" w:color="auto"/>
      </w:divBdr>
      <w:divsChild>
        <w:div w:id="1550073036">
          <w:marLeft w:val="0"/>
          <w:marRight w:val="0"/>
          <w:marTop w:val="0"/>
          <w:marBottom w:val="0"/>
          <w:divBdr>
            <w:top w:val="none" w:sz="0" w:space="0" w:color="auto"/>
            <w:left w:val="none" w:sz="0" w:space="0" w:color="auto"/>
            <w:bottom w:val="none" w:sz="0" w:space="0" w:color="auto"/>
            <w:right w:val="none" w:sz="0" w:space="0" w:color="auto"/>
          </w:divBdr>
        </w:div>
        <w:div w:id="1303970240">
          <w:marLeft w:val="0"/>
          <w:marRight w:val="0"/>
          <w:marTop w:val="0"/>
          <w:marBottom w:val="0"/>
          <w:divBdr>
            <w:top w:val="none" w:sz="0" w:space="0" w:color="auto"/>
            <w:left w:val="none" w:sz="0" w:space="0" w:color="auto"/>
            <w:bottom w:val="none" w:sz="0" w:space="0" w:color="auto"/>
            <w:right w:val="none" w:sz="0" w:space="0" w:color="auto"/>
          </w:divBdr>
          <w:divsChild>
            <w:div w:id="239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4854">
      <w:bodyDiv w:val="1"/>
      <w:marLeft w:val="0"/>
      <w:marRight w:val="0"/>
      <w:marTop w:val="0"/>
      <w:marBottom w:val="0"/>
      <w:divBdr>
        <w:top w:val="none" w:sz="0" w:space="0" w:color="auto"/>
        <w:left w:val="none" w:sz="0" w:space="0" w:color="auto"/>
        <w:bottom w:val="none" w:sz="0" w:space="0" w:color="auto"/>
        <w:right w:val="none" w:sz="0" w:space="0" w:color="auto"/>
      </w:divBdr>
      <w:divsChild>
        <w:div w:id="1895114605">
          <w:marLeft w:val="0"/>
          <w:marRight w:val="0"/>
          <w:marTop w:val="0"/>
          <w:marBottom w:val="0"/>
          <w:divBdr>
            <w:top w:val="none" w:sz="0" w:space="0" w:color="auto"/>
            <w:left w:val="none" w:sz="0" w:space="0" w:color="auto"/>
            <w:bottom w:val="none" w:sz="0" w:space="0" w:color="auto"/>
            <w:right w:val="none" w:sz="0" w:space="0" w:color="auto"/>
          </w:divBdr>
          <w:divsChild>
            <w:div w:id="16249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3857">
      <w:bodyDiv w:val="1"/>
      <w:marLeft w:val="0"/>
      <w:marRight w:val="0"/>
      <w:marTop w:val="0"/>
      <w:marBottom w:val="0"/>
      <w:divBdr>
        <w:top w:val="none" w:sz="0" w:space="0" w:color="auto"/>
        <w:left w:val="none" w:sz="0" w:space="0" w:color="auto"/>
        <w:bottom w:val="none" w:sz="0" w:space="0" w:color="auto"/>
        <w:right w:val="none" w:sz="0" w:space="0" w:color="auto"/>
      </w:divBdr>
      <w:divsChild>
        <w:div w:id="1739402636">
          <w:marLeft w:val="0"/>
          <w:marRight w:val="0"/>
          <w:marTop w:val="0"/>
          <w:marBottom w:val="0"/>
          <w:divBdr>
            <w:top w:val="none" w:sz="0" w:space="0" w:color="auto"/>
            <w:left w:val="none" w:sz="0" w:space="0" w:color="auto"/>
            <w:bottom w:val="none" w:sz="0" w:space="0" w:color="auto"/>
            <w:right w:val="none" w:sz="0" w:space="0" w:color="auto"/>
          </w:divBdr>
        </w:div>
        <w:div w:id="2069765500">
          <w:marLeft w:val="0"/>
          <w:marRight w:val="0"/>
          <w:marTop w:val="0"/>
          <w:marBottom w:val="0"/>
          <w:divBdr>
            <w:top w:val="none" w:sz="0" w:space="0" w:color="auto"/>
            <w:left w:val="none" w:sz="0" w:space="0" w:color="auto"/>
            <w:bottom w:val="none" w:sz="0" w:space="0" w:color="auto"/>
            <w:right w:val="none" w:sz="0" w:space="0" w:color="auto"/>
          </w:divBdr>
          <w:divsChild>
            <w:div w:id="1621768162">
              <w:marLeft w:val="0"/>
              <w:marRight w:val="0"/>
              <w:marTop w:val="0"/>
              <w:marBottom w:val="0"/>
              <w:divBdr>
                <w:top w:val="none" w:sz="0" w:space="0" w:color="auto"/>
                <w:left w:val="none" w:sz="0" w:space="0" w:color="auto"/>
                <w:bottom w:val="none" w:sz="0" w:space="0" w:color="auto"/>
                <w:right w:val="none" w:sz="0" w:space="0" w:color="auto"/>
              </w:divBdr>
              <w:divsChild>
                <w:div w:id="939459109">
                  <w:marLeft w:val="0"/>
                  <w:marRight w:val="0"/>
                  <w:marTop w:val="0"/>
                  <w:marBottom w:val="0"/>
                  <w:divBdr>
                    <w:top w:val="none" w:sz="0" w:space="0" w:color="auto"/>
                    <w:left w:val="none" w:sz="0" w:space="0" w:color="auto"/>
                    <w:bottom w:val="none" w:sz="0" w:space="0" w:color="auto"/>
                    <w:right w:val="none" w:sz="0" w:space="0" w:color="auto"/>
                  </w:divBdr>
                  <w:divsChild>
                    <w:div w:id="1719206058">
                      <w:marLeft w:val="0"/>
                      <w:marRight w:val="0"/>
                      <w:marTop w:val="120"/>
                      <w:marBottom w:val="0"/>
                      <w:divBdr>
                        <w:top w:val="none" w:sz="0" w:space="0" w:color="auto"/>
                        <w:left w:val="none" w:sz="0" w:space="0" w:color="auto"/>
                        <w:bottom w:val="none" w:sz="0" w:space="0" w:color="auto"/>
                        <w:right w:val="none" w:sz="0" w:space="0" w:color="auto"/>
                      </w:divBdr>
                    </w:div>
                    <w:div w:id="10420729">
                      <w:marLeft w:val="0"/>
                      <w:marRight w:val="0"/>
                      <w:marTop w:val="0"/>
                      <w:marBottom w:val="0"/>
                      <w:divBdr>
                        <w:top w:val="none" w:sz="0" w:space="0" w:color="auto"/>
                        <w:left w:val="none" w:sz="0" w:space="0" w:color="auto"/>
                        <w:bottom w:val="none" w:sz="0" w:space="0" w:color="auto"/>
                        <w:right w:val="none" w:sz="0" w:space="0" w:color="auto"/>
                      </w:divBdr>
                    </w:div>
                  </w:divsChild>
                </w:div>
                <w:div w:id="1929315454">
                  <w:marLeft w:val="0"/>
                  <w:marRight w:val="0"/>
                  <w:marTop w:val="0"/>
                  <w:marBottom w:val="0"/>
                  <w:divBdr>
                    <w:top w:val="none" w:sz="0" w:space="0" w:color="auto"/>
                    <w:left w:val="none" w:sz="0" w:space="0" w:color="auto"/>
                    <w:bottom w:val="none" w:sz="0" w:space="0" w:color="auto"/>
                    <w:right w:val="none" w:sz="0" w:space="0" w:color="auto"/>
                  </w:divBdr>
                  <w:divsChild>
                    <w:div w:id="1514341682">
                      <w:marLeft w:val="0"/>
                      <w:marRight w:val="0"/>
                      <w:marTop w:val="120"/>
                      <w:marBottom w:val="0"/>
                      <w:divBdr>
                        <w:top w:val="none" w:sz="0" w:space="0" w:color="auto"/>
                        <w:left w:val="none" w:sz="0" w:space="0" w:color="auto"/>
                        <w:bottom w:val="none" w:sz="0" w:space="0" w:color="auto"/>
                        <w:right w:val="none" w:sz="0" w:space="0" w:color="auto"/>
                      </w:divBdr>
                    </w:div>
                    <w:div w:id="4215820">
                      <w:marLeft w:val="0"/>
                      <w:marRight w:val="0"/>
                      <w:marTop w:val="0"/>
                      <w:marBottom w:val="0"/>
                      <w:divBdr>
                        <w:top w:val="none" w:sz="0" w:space="0" w:color="auto"/>
                        <w:left w:val="none" w:sz="0" w:space="0" w:color="auto"/>
                        <w:bottom w:val="none" w:sz="0" w:space="0" w:color="auto"/>
                        <w:right w:val="none" w:sz="0" w:space="0" w:color="auto"/>
                      </w:divBdr>
                      <w:divsChild>
                        <w:div w:id="1192499530">
                          <w:marLeft w:val="0"/>
                          <w:marRight w:val="0"/>
                          <w:marTop w:val="0"/>
                          <w:marBottom w:val="0"/>
                          <w:divBdr>
                            <w:top w:val="none" w:sz="0" w:space="0" w:color="auto"/>
                            <w:left w:val="none" w:sz="0" w:space="0" w:color="auto"/>
                            <w:bottom w:val="none" w:sz="0" w:space="0" w:color="auto"/>
                            <w:right w:val="none" w:sz="0" w:space="0" w:color="auto"/>
                          </w:divBdr>
                          <w:divsChild>
                            <w:div w:id="1549998238">
                              <w:marLeft w:val="0"/>
                              <w:marRight w:val="0"/>
                              <w:marTop w:val="120"/>
                              <w:marBottom w:val="0"/>
                              <w:divBdr>
                                <w:top w:val="none" w:sz="0" w:space="0" w:color="auto"/>
                                <w:left w:val="none" w:sz="0" w:space="0" w:color="auto"/>
                                <w:bottom w:val="none" w:sz="0" w:space="0" w:color="auto"/>
                                <w:right w:val="none" w:sz="0" w:space="0" w:color="auto"/>
                              </w:divBdr>
                            </w:div>
                            <w:div w:id="1804079817">
                              <w:marLeft w:val="0"/>
                              <w:marRight w:val="0"/>
                              <w:marTop w:val="0"/>
                              <w:marBottom w:val="0"/>
                              <w:divBdr>
                                <w:top w:val="none" w:sz="0" w:space="0" w:color="auto"/>
                                <w:left w:val="none" w:sz="0" w:space="0" w:color="auto"/>
                                <w:bottom w:val="none" w:sz="0" w:space="0" w:color="auto"/>
                                <w:right w:val="none" w:sz="0" w:space="0" w:color="auto"/>
                              </w:divBdr>
                            </w:div>
                          </w:divsChild>
                        </w:div>
                        <w:div w:id="522549170">
                          <w:marLeft w:val="0"/>
                          <w:marRight w:val="0"/>
                          <w:marTop w:val="0"/>
                          <w:marBottom w:val="0"/>
                          <w:divBdr>
                            <w:top w:val="none" w:sz="0" w:space="0" w:color="auto"/>
                            <w:left w:val="none" w:sz="0" w:space="0" w:color="auto"/>
                            <w:bottom w:val="none" w:sz="0" w:space="0" w:color="auto"/>
                            <w:right w:val="none" w:sz="0" w:space="0" w:color="auto"/>
                          </w:divBdr>
                          <w:divsChild>
                            <w:div w:id="712659328">
                              <w:marLeft w:val="0"/>
                              <w:marRight w:val="0"/>
                              <w:marTop w:val="120"/>
                              <w:marBottom w:val="0"/>
                              <w:divBdr>
                                <w:top w:val="none" w:sz="0" w:space="0" w:color="auto"/>
                                <w:left w:val="none" w:sz="0" w:space="0" w:color="auto"/>
                                <w:bottom w:val="none" w:sz="0" w:space="0" w:color="auto"/>
                                <w:right w:val="none" w:sz="0" w:space="0" w:color="auto"/>
                              </w:divBdr>
                            </w:div>
                            <w:div w:id="1078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2950">
                  <w:marLeft w:val="0"/>
                  <w:marRight w:val="0"/>
                  <w:marTop w:val="0"/>
                  <w:marBottom w:val="0"/>
                  <w:divBdr>
                    <w:top w:val="none" w:sz="0" w:space="0" w:color="auto"/>
                    <w:left w:val="none" w:sz="0" w:space="0" w:color="auto"/>
                    <w:bottom w:val="none" w:sz="0" w:space="0" w:color="auto"/>
                    <w:right w:val="none" w:sz="0" w:space="0" w:color="auto"/>
                  </w:divBdr>
                  <w:divsChild>
                    <w:div w:id="1658341604">
                      <w:marLeft w:val="0"/>
                      <w:marRight w:val="0"/>
                      <w:marTop w:val="120"/>
                      <w:marBottom w:val="0"/>
                      <w:divBdr>
                        <w:top w:val="none" w:sz="0" w:space="0" w:color="auto"/>
                        <w:left w:val="none" w:sz="0" w:space="0" w:color="auto"/>
                        <w:bottom w:val="none" w:sz="0" w:space="0" w:color="auto"/>
                        <w:right w:val="none" w:sz="0" w:space="0" w:color="auto"/>
                      </w:divBdr>
                    </w:div>
                    <w:div w:id="20357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2606">
      <w:bodyDiv w:val="1"/>
      <w:marLeft w:val="0"/>
      <w:marRight w:val="0"/>
      <w:marTop w:val="0"/>
      <w:marBottom w:val="0"/>
      <w:divBdr>
        <w:top w:val="none" w:sz="0" w:space="0" w:color="auto"/>
        <w:left w:val="none" w:sz="0" w:space="0" w:color="auto"/>
        <w:bottom w:val="none" w:sz="0" w:space="0" w:color="auto"/>
        <w:right w:val="none" w:sz="0" w:space="0" w:color="auto"/>
      </w:divBdr>
      <w:divsChild>
        <w:div w:id="1070225622">
          <w:marLeft w:val="0"/>
          <w:marRight w:val="0"/>
          <w:marTop w:val="0"/>
          <w:marBottom w:val="0"/>
          <w:divBdr>
            <w:top w:val="none" w:sz="0" w:space="0" w:color="auto"/>
            <w:left w:val="none" w:sz="0" w:space="0" w:color="auto"/>
            <w:bottom w:val="none" w:sz="0" w:space="0" w:color="auto"/>
            <w:right w:val="none" w:sz="0" w:space="0" w:color="auto"/>
          </w:divBdr>
        </w:div>
        <w:div w:id="1983775905">
          <w:marLeft w:val="0"/>
          <w:marRight w:val="0"/>
          <w:marTop w:val="0"/>
          <w:marBottom w:val="0"/>
          <w:divBdr>
            <w:top w:val="none" w:sz="0" w:space="0" w:color="auto"/>
            <w:left w:val="none" w:sz="0" w:space="0" w:color="auto"/>
            <w:bottom w:val="none" w:sz="0" w:space="0" w:color="auto"/>
            <w:right w:val="none" w:sz="0" w:space="0" w:color="auto"/>
          </w:divBdr>
          <w:divsChild>
            <w:div w:id="10383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9739">
      <w:bodyDiv w:val="1"/>
      <w:marLeft w:val="0"/>
      <w:marRight w:val="0"/>
      <w:marTop w:val="0"/>
      <w:marBottom w:val="0"/>
      <w:divBdr>
        <w:top w:val="none" w:sz="0" w:space="0" w:color="auto"/>
        <w:left w:val="none" w:sz="0" w:space="0" w:color="auto"/>
        <w:bottom w:val="none" w:sz="0" w:space="0" w:color="auto"/>
        <w:right w:val="none" w:sz="0" w:space="0" w:color="auto"/>
      </w:divBdr>
      <w:divsChild>
        <w:div w:id="375783874">
          <w:marLeft w:val="0"/>
          <w:marRight w:val="0"/>
          <w:marTop w:val="0"/>
          <w:marBottom w:val="0"/>
          <w:divBdr>
            <w:top w:val="none" w:sz="0" w:space="0" w:color="auto"/>
            <w:left w:val="none" w:sz="0" w:space="0" w:color="auto"/>
            <w:bottom w:val="none" w:sz="0" w:space="0" w:color="auto"/>
            <w:right w:val="none" w:sz="0" w:space="0" w:color="auto"/>
          </w:divBdr>
        </w:div>
        <w:div w:id="1453089623">
          <w:marLeft w:val="0"/>
          <w:marRight w:val="0"/>
          <w:marTop w:val="0"/>
          <w:marBottom w:val="0"/>
          <w:divBdr>
            <w:top w:val="none" w:sz="0" w:space="0" w:color="auto"/>
            <w:left w:val="none" w:sz="0" w:space="0" w:color="auto"/>
            <w:bottom w:val="none" w:sz="0" w:space="0" w:color="auto"/>
            <w:right w:val="none" w:sz="0" w:space="0" w:color="auto"/>
          </w:divBdr>
          <w:divsChild>
            <w:div w:id="615671744">
              <w:marLeft w:val="0"/>
              <w:marRight w:val="0"/>
              <w:marTop w:val="0"/>
              <w:marBottom w:val="0"/>
              <w:divBdr>
                <w:top w:val="none" w:sz="0" w:space="0" w:color="auto"/>
                <w:left w:val="none" w:sz="0" w:space="0" w:color="auto"/>
                <w:bottom w:val="none" w:sz="0" w:space="0" w:color="auto"/>
                <w:right w:val="none" w:sz="0" w:space="0" w:color="auto"/>
              </w:divBdr>
              <w:divsChild>
                <w:div w:id="168761764">
                  <w:marLeft w:val="0"/>
                  <w:marRight w:val="0"/>
                  <w:marTop w:val="0"/>
                  <w:marBottom w:val="0"/>
                  <w:divBdr>
                    <w:top w:val="none" w:sz="0" w:space="0" w:color="auto"/>
                    <w:left w:val="none" w:sz="0" w:space="0" w:color="auto"/>
                    <w:bottom w:val="none" w:sz="0" w:space="0" w:color="auto"/>
                    <w:right w:val="none" w:sz="0" w:space="0" w:color="auto"/>
                  </w:divBdr>
                  <w:divsChild>
                    <w:div w:id="147981056">
                      <w:marLeft w:val="0"/>
                      <w:marRight w:val="0"/>
                      <w:marTop w:val="120"/>
                      <w:marBottom w:val="0"/>
                      <w:divBdr>
                        <w:top w:val="none" w:sz="0" w:space="0" w:color="auto"/>
                        <w:left w:val="none" w:sz="0" w:space="0" w:color="auto"/>
                        <w:bottom w:val="none" w:sz="0" w:space="0" w:color="auto"/>
                        <w:right w:val="none" w:sz="0" w:space="0" w:color="auto"/>
                      </w:divBdr>
                    </w:div>
                    <w:div w:id="455610646">
                      <w:marLeft w:val="0"/>
                      <w:marRight w:val="0"/>
                      <w:marTop w:val="0"/>
                      <w:marBottom w:val="0"/>
                      <w:divBdr>
                        <w:top w:val="none" w:sz="0" w:space="0" w:color="auto"/>
                        <w:left w:val="none" w:sz="0" w:space="0" w:color="auto"/>
                        <w:bottom w:val="none" w:sz="0" w:space="0" w:color="auto"/>
                        <w:right w:val="none" w:sz="0" w:space="0" w:color="auto"/>
                      </w:divBdr>
                    </w:div>
                  </w:divsChild>
                </w:div>
                <w:div w:id="1388919537">
                  <w:marLeft w:val="0"/>
                  <w:marRight w:val="0"/>
                  <w:marTop w:val="0"/>
                  <w:marBottom w:val="0"/>
                  <w:divBdr>
                    <w:top w:val="none" w:sz="0" w:space="0" w:color="auto"/>
                    <w:left w:val="none" w:sz="0" w:space="0" w:color="auto"/>
                    <w:bottom w:val="none" w:sz="0" w:space="0" w:color="auto"/>
                    <w:right w:val="none" w:sz="0" w:space="0" w:color="auto"/>
                  </w:divBdr>
                  <w:divsChild>
                    <w:div w:id="938871287">
                      <w:marLeft w:val="0"/>
                      <w:marRight w:val="0"/>
                      <w:marTop w:val="120"/>
                      <w:marBottom w:val="0"/>
                      <w:divBdr>
                        <w:top w:val="none" w:sz="0" w:space="0" w:color="auto"/>
                        <w:left w:val="none" w:sz="0" w:space="0" w:color="auto"/>
                        <w:bottom w:val="none" w:sz="0" w:space="0" w:color="auto"/>
                        <w:right w:val="none" w:sz="0" w:space="0" w:color="auto"/>
                      </w:divBdr>
                    </w:div>
                    <w:div w:id="1446535177">
                      <w:marLeft w:val="0"/>
                      <w:marRight w:val="0"/>
                      <w:marTop w:val="0"/>
                      <w:marBottom w:val="0"/>
                      <w:divBdr>
                        <w:top w:val="none" w:sz="0" w:space="0" w:color="auto"/>
                        <w:left w:val="none" w:sz="0" w:space="0" w:color="auto"/>
                        <w:bottom w:val="none" w:sz="0" w:space="0" w:color="auto"/>
                        <w:right w:val="none" w:sz="0" w:space="0" w:color="auto"/>
                      </w:divBdr>
                    </w:div>
                  </w:divsChild>
                </w:div>
                <w:div w:id="699015150">
                  <w:marLeft w:val="0"/>
                  <w:marRight w:val="0"/>
                  <w:marTop w:val="0"/>
                  <w:marBottom w:val="0"/>
                  <w:divBdr>
                    <w:top w:val="none" w:sz="0" w:space="0" w:color="auto"/>
                    <w:left w:val="none" w:sz="0" w:space="0" w:color="auto"/>
                    <w:bottom w:val="none" w:sz="0" w:space="0" w:color="auto"/>
                    <w:right w:val="none" w:sz="0" w:space="0" w:color="auto"/>
                  </w:divBdr>
                  <w:divsChild>
                    <w:div w:id="904298061">
                      <w:marLeft w:val="0"/>
                      <w:marRight w:val="0"/>
                      <w:marTop w:val="120"/>
                      <w:marBottom w:val="0"/>
                      <w:divBdr>
                        <w:top w:val="none" w:sz="0" w:space="0" w:color="auto"/>
                        <w:left w:val="none" w:sz="0" w:space="0" w:color="auto"/>
                        <w:bottom w:val="none" w:sz="0" w:space="0" w:color="auto"/>
                        <w:right w:val="none" w:sz="0" w:space="0" w:color="auto"/>
                      </w:divBdr>
                    </w:div>
                    <w:div w:id="1935241555">
                      <w:marLeft w:val="0"/>
                      <w:marRight w:val="0"/>
                      <w:marTop w:val="0"/>
                      <w:marBottom w:val="0"/>
                      <w:divBdr>
                        <w:top w:val="none" w:sz="0" w:space="0" w:color="auto"/>
                        <w:left w:val="none" w:sz="0" w:space="0" w:color="auto"/>
                        <w:bottom w:val="none" w:sz="0" w:space="0" w:color="auto"/>
                        <w:right w:val="none" w:sz="0" w:space="0" w:color="auto"/>
                      </w:divBdr>
                    </w:div>
                  </w:divsChild>
                </w:div>
                <w:div w:id="1394889131">
                  <w:marLeft w:val="0"/>
                  <w:marRight w:val="0"/>
                  <w:marTop w:val="0"/>
                  <w:marBottom w:val="0"/>
                  <w:divBdr>
                    <w:top w:val="none" w:sz="0" w:space="0" w:color="auto"/>
                    <w:left w:val="none" w:sz="0" w:space="0" w:color="auto"/>
                    <w:bottom w:val="none" w:sz="0" w:space="0" w:color="auto"/>
                    <w:right w:val="none" w:sz="0" w:space="0" w:color="auto"/>
                  </w:divBdr>
                  <w:divsChild>
                    <w:div w:id="270860616">
                      <w:marLeft w:val="0"/>
                      <w:marRight w:val="0"/>
                      <w:marTop w:val="120"/>
                      <w:marBottom w:val="0"/>
                      <w:divBdr>
                        <w:top w:val="none" w:sz="0" w:space="0" w:color="auto"/>
                        <w:left w:val="none" w:sz="0" w:space="0" w:color="auto"/>
                        <w:bottom w:val="none" w:sz="0" w:space="0" w:color="auto"/>
                        <w:right w:val="none" w:sz="0" w:space="0" w:color="auto"/>
                      </w:divBdr>
                    </w:div>
                    <w:div w:id="568656111">
                      <w:marLeft w:val="0"/>
                      <w:marRight w:val="0"/>
                      <w:marTop w:val="0"/>
                      <w:marBottom w:val="0"/>
                      <w:divBdr>
                        <w:top w:val="none" w:sz="0" w:space="0" w:color="auto"/>
                        <w:left w:val="none" w:sz="0" w:space="0" w:color="auto"/>
                        <w:bottom w:val="none" w:sz="0" w:space="0" w:color="auto"/>
                        <w:right w:val="none" w:sz="0" w:space="0" w:color="auto"/>
                      </w:divBdr>
                    </w:div>
                  </w:divsChild>
                </w:div>
                <w:div w:id="748507319">
                  <w:marLeft w:val="0"/>
                  <w:marRight w:val="0"/>
                  <w:marTop w:val="0"/>
                  <w:marBottom w:val="0"/>
                  <w:divBdr>
                    <w:top w:val="none" w:sz="0" w:space="0" w:color="auto"/>
                    <w:left w:val="none" w:sz="0" w:space="0" w:color="auto"/>
                    <w:bottom w:val="none" w:sz="0" w:space="0" w:color="auto"/>
                    <w:right w:val="none" w:sz="0" w:space="0" w:color="auto"/>
                  </w:divBdr>
                  <w:divsChild>
                    <w:div w:id="763303118">
                      <w:marLeft w:val="0"/>
                      <w:marRight w:val="0"/>
                      <w:marTop w:val="120"/>
                      <w:marBottom w:val="0"/>
                      <w:divBdr>
                        <w:top w:val="none" w:sz="0" w:space="0" w:color="auto"/>
                        <w:left w:val="none" w:sz="0" w:space="0" w:color="auto"/>
                        <w:bottom w:val="none" w:sz="0" w:space="0" w:color="auto"/>
                        <w:right w:val="none" w:sz="0" w:space="0" w:color="auto"/>
                      </w:divBdr>
                    </w:div>
                    <w:div w:id="1021321503">
                      <w:marLeft w:val="0"/>
                      <w:marRight w:val="0"/>
                      <w:marTop w:val="0"/>
                      <w:marBottom w:val="0"/>
                      <w:divBdr>
                        <w:top w:val="none" w:sz="0" w:space="0" w:color="auto"/>
                        <w:left w:val="none" w:sz="0" w:space="0" w:color="auto"/>
                        <w:bottom w:val="none" w:sz="0" w:space="0" w:color="auto"/>
                        <w:right w:val="none" w:sz="0" w:space="0" w:color="auto"/>
                      </w:divBdr>
                    </w:div>
                  </w:divsChild>
                </w:div>
                <w:div w:id="950010342">
                  <w:marLeft w:val="0"/>
                  <w:marRight w:val="0"/>
                  <w:marTop w:val="0"/>
                  <w:marBottom w:val="0"/>
                  <w:divBdr>
                    <w:top w:val="none" w:sz="0" w:space="0" w:color="auto"/>
                    <w:left w:val="none" w:sz="0" w:space="0" w:color="auto"/>
                    <w:bottom w:val="none" w:sz="0" w:space="0" w:color="auto"/>
                    <w:right w:val="none" w:sz="0" w:space="0" w:color="auto"/>
                  </w:divBdr>
                  <w:divsChild>
                    <w:div w:id="693969433">
                      <w:marLeft w:val="0"/>
                      <w:marRight w:val="0"/>
                      <w:marTop w:val="120"/>
                      <w:marBottom w:val="0"/>
                      <w:divBdr>
                        <w:top w:val="none" w:sz="0" w:space="0" w:color="auto"/>
                        <w:left w:val="none" w:sz="0" w:space="0" w:color="auto"/>
                        <w:bottom w:val="none" w:sz="0" w:space="0" w:color="auto"/>
                        <w:right w:val="none" w:sz="0" w:space="0" w:color="auto"/>
                      </w:divBdr>
                    </w:div>
                    <w:div w:id="509686759">
                      <w:marLeft w:val="0"/>
                      <w:marRight w:val="0"/>
                      <w:marTop w:val="0"/>
                      <w:marBottom w:val="0"/>
                      <w:divBdr>
                        <w:top w:val="none" w:sz="0" w:space="0" w:color="auto"/>
                        <w:left w:val="none" w:sz="0" w:space="0" w:color="auto"/>
                        <w:bottom w:val="none" w:sz="0" w:space="0" w:color="auto"/>
                        <w:right w:val="none" w:sz="0" w:space="0" w:color="auto"/>
                      </w:divBdr>
                    </w:div>
                  </w:divsChild>
                </w:div>
                <w:div w:id="1370883725">
                  <w:marLeft w:val="0"/>
                  <w:marRight w:val="0"/>
                  <w:marTop w:val="0"/>
                  <w:marBottom w:val="0"/>
                  <w:divBdr>
                    <w:top w:val="none" w:sz="0" w:space="0" w:color="auto"/>
                    <w:left w:val="none" w:sz="0" w:space="0" w:color="auto"/>
                    <w:bottom w:val="none" w:sz="0" w:space="0" w:color="auto"/>
                    <w:right w:val="none" w:sz="0" w:space="0" w:color="auto"/>
                  </w:divBdr>
                  <w:divsChild>
                    <w:div w:id="1423062415">
                      <w:marLeft w:val="0"/>
                      <w:marRight w:val="0"/>
                      <w:marTop w:val="120"/>
                      <w:marBottom w:val="0"/>
                      <w:divBdr>
                        <w:top w:val="none" w:sz="0" w:space="0" w:color="auto"/>
                        <w:left w:val="none" w:sz="0" w:space="0" w:color="auto"/>
                        <w:bottom w:val="none" w:sz="0" w:space="0" w:color="auto"/>
                        <w:right w:val="none" w:sz="0" w:space="0" w:color="auto"/>
                      </w:divBdr>
                    </w:div>
                    <w:div w:id="1179194428">
                      <w:marLeft w:val="0"/>
                      <w:marRight w:val="0"/>
                      <w:marTop w:val="0"/>
                      <w:marBottom w:val="0"/>
                      <w:divBdr>
                        <w:top w:val="none" w:sz="0" w:space="0" w:color="auto"/>
                        <w:left w:val="none" w:sz="0" w:space="0" w:color="auto"/>
                        <w:bottom w:val="none" w:sz="0" w:space="0" w:color="auto"/>
                        <w:right w:val="none" w:sz="0" w:space="0" w:color="auto"/>
                      </w:divBdr>
                    </w:div>
                  </w:divsChild>
                </w:div>
                <w:div w:id="224801149">
                  <w:marLeft w:val="0"/>
                  <w:marRight w:val="0"/>
                  <w:marTop w:val="0"/>
                  <w:marBottom w:val="0"/>
                  <w:divBdr>
                    <w:top w:val="none" w:sz="0" w:space="0" w:color="auto"/>
                    <w:left w:val="none" w:sz="0" w:space="0" w:color="auto"/>
                    <w:bottom w:val="none" w:sz="0" w:space="0" w:color="auto"/>
                    <w:right w:val="none" w:sz="0" w:space="0" w:color="auto"/>
                  </w:divBdr>
                  <w:divsChild>
                    <w:div w:id="1470052171">
                      <w:marLeft w:val="0"/>
                      <w:marRight w:val="0"/>
                      <w:marTop w:val="120"/>
                      <w:marBottom w:val="0"/>
                      <w:divBdr>
                        <w:top w:val="none" w:sz="0" w:space="0" w:color="auto"/>
                        <w:left w:val="none" w:sz="0" w:space="0" w:color="auto"/>
                        <w:bottom w:val="none" w:sz="0" w:space="0" w:color="auto"/>
                        <w:right w:val="none" w:sz="0" w:space="0" w:color="auto"/>
                      </w:divBdr>
                    </w:div>
                    <w:div w:id="11202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2170">
      <w:bodyDiv w:val="1"/>
      <w:marLeft w:val="0"/>
      <w:marRight w:val="0"/>
      <w:marTop w:val="0"/>
      <w:marBottom w:val="0"/>
      <w:divBdr>
        <w:top w:val="none" w:sz="0" w:space="0" w:color="auto"/>
        <w:left w:val="none" w:sz="0" w:space="0" w:color="auto"/>
        <w:bottom w:val="none" w:sz="0" w:space="0" w:color="auto"/>
        <w:right w:val="none" w:sz="0" w:space="0" w:color="auto"/>
      </w:divBdr>
      <w:divsChild>
        <w:div w:id="1887908258">
          <w:marLeft w:val="0"/>
          <w:marRight w:val="0"/>
          <w:marTop w:val="0"/>
          <w:marBottom w:val="0"/>
          <w:divBdr>
            <w:top w:val="none" w:sz="0" w:space="0" w:color="auto"/>
            <w:left w:val="none" w:sz="0" w:space="0" w:color="auto"/>
            <w:bottom w:val="none" w:sz="0" w:space="0" w:color="auto"/>
            <w:right w:val="none" w:sz="0" w:space="0" w:color="auto"/>
          </w:divBdr>
        </w:div>
      </w:divsChild>
    </w:div>
    <w:div w:id="679159425">
      <w:bodyDiv w:val="1"/>
      <w:marLeft w:val="0"/>
      <w:marRight w:val="0"/>
      <w:marTop w:val="0"/>
      <w:marBottom w:val="0"/>
      <w:divBdr>
        <w:top w:val="none" w:sz="0" w:space="0" w:color="auto"/>
        <w:left w:val="none" w:sz="0" w:space="0" w:color="auto"/>
        <w:bottom w:val="none" w:sz="0" w:space="0" w:color="auto"/>
        <w:right w:val="none" w:sz="0" w:space="0" w:color="auto"/>
      </w:divBdr>
      <w:divsChild>
        <w:div w:id="1540819600">
          <w:marLeft w:val="0"/>
          <w:marRight w:val="0"/>
          <w:marTop w:val="0"/>
          <w:marBottom w:val="0"/>
          <w:divBdr>
            <w:top w:val="none" w:sz="0" w:space="0" w:color="auto"/>
            <w:left w:val="none" w:sz="0" w:space="0" w:color="auto"/>
            <w:bottom w:val="none" w:sz="0" w:space="0" w:color="auto"/>
            <w:right w:val="none" w:sz="0" w:space="0" w:color="auto"/>
          </w:divBdr>
          <w:divsChild>
            <w:div w:id="381254590">
              <w:marLeft w:val="0"/>
              <w:marRight w:val="0"/>
              <w:marTop w:val="0"/>
              <w:marBottom w:val="0"/>
              <w:divBdr>
                <w:top w:val="none" w:sz="0" w:space="0" w:color="auto"/>
                <w:left w:val="none" w:sz="0" w:space="0" w:color="auto"/>
                <w:bottom w:val="none" w:sz="0" w:space="0" w:color="auto"/>
                <w:right w:val="none" w:sz="0" w:space="0" w:color="auto"/>
              </w:divBdr>
            </w:div>
          </w:divsChild>
        </w:div>
        <w:div w:id="1306664449">
          <w:marLeft w:val="0"/>
          <w:marRight w:val="0"/>
          <w:marTop w:val="0"/>
          <w:marBottom w:val="0"/>
          <w:divBdr>
            <w:top w:val="none" w:sz="0" w:space="0" w:color="auto"/>
            <w:left w:val="none" w:sz="0" w:space="0" w:color="auto"/>
            <w:bottom w:val="none" w:sz="0" w:space="0" w:color="auto"/>
            <w:right w:val="none" w:sz="0" w:space="0" w:color="auto"/>
          </w:divBdr>
          <w:divsChild>
            <w:div w:id="11129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3475">
      <w:bodyDiv w:val="1"/>
      <w:marLeft w:val="0"/>
      <w:marRight w:val="0"/>
      <w:marTop w:val="0"/>
      <w:marBottom w:val="0"/>
      <w:divBdr>
        <w:top w:val="none" w:sz="0" w:space="0" w:color="auto"/>
        <w:left w:val="none" w:sz="0" w:space="0" w:color="auto"/>
        <w:bottom w:val="none" w:sz="0" w:space="0" w:color="auto"/>
        <w:right w:val="none" w:sz="0" w:space="0" w:color="auto"/>
      </w:divBdr>
      <w:divsChild>
        <w:div w:id="1346051158">
          <w:marLeft w:val="0"/>
          <w:marRight w:val="0"/>
          <w:marTop w:val="0"/>
          <w:marBottom w:val="0"/>
          <w:divBdr>
            <w:top w:val="none" w:sz="0" w:space="0" w:color="auto"/>
            <w:left w:val="none" w:sz="0" w:space="0" w:color="auto"/>
            <w:bottom w:val="none" w:sz="0" w:space="0" w:color="auto"/>
            <w:right w:val="none" w:sz="0" w:space="0" w:color="auto"/>
          </w:divBdr>
        </w:div>
      </w:divsChild>
    </w:div>
    <w:div w:id="785733118">
      <w:bodyDiv w:val="1"/>
      <w:marLeft w:val="0"/>
      <w:marRight w:val="0"/>
      <w:marTop w:val="0"/>
      <w:marBottom w:val="0"/>
      <w:divBdr>
        <w:top w:val="none" w:sz="0" w:space="0" w:color="auto"/>
        <w:left w:val="none" w:sz="0" w:space="0" w:color="auto"/>
        <w:bottom w:val="none" w:sz="0" w:space="0" w:color="auto"/>
        <w:right w:val="none" w:sz="0" w:space="0" w:color="auto"/>
      </w:divBdr>
      <w:divsChild>
        <w:div w:id="335689112">
          <w:marLeft w:val="0"/>
          <w:marRight w:val="0"/>
          <w:marTop w:val="0"/>
          <w:marBottom w:val="0"/>
          <w:divBdr>
            <w:top w:val="none" w:sz="0" w:space="0" w:color="auto"/>
            <w:left w:val="none" w:sz="0" w:space="0" w:color="auto"/>
            <w:bottom w:val="none" w:sz="0" w:space="0" w:color="auto"/>
            <w:right w:val="none" w:sz="0" w:space="0" w:color="auto"/>
          </w:divBdr>
          <w:divsChild>
            <w:div w:id="17737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8578">
      <w:bodyDiv w:val="1"/>
      <w:marLeft w:val="0"/>
      <w:marRight w:val="0"/>
      <w:marTop w:val="0"/>
      <w:marBottom w:val="0"/>
      <w:divBdr>
        <w:top w:val="none" w:sz="0" w:space="0" w:color="auto"/>
        <w:left w:val="none" w:sz="0" w:space="0" w:color="auto"/>
        <w:bottom w:val="none" w:sz="0" w:space="0" w:color="auto"/>
        <w:right w:val="none" w:sz="0" w:space="0" w:color="auto"/>
      </w:divBdr>
      <w:divsChild>
        <w:div w:id="782840864">
          <w:marLeft w:val="0"/>
          <w:marRight w:val="0"/>
          <w:marTop w:val="0"/>
          <w:marBottom w:val="0"/>
          <w:divBdr>
            <w:top w:val="none" w:sz="0" w:space="0" w:color="auto"/>
            <w:left w:val="none" w:sz="0" w:space="0" w:color="auto"/>
            <w:bottom w:val="none" w:sz="0" w:space="0" w:color="auto"/>
            <w:right w:val="none" w:sz="0" w:space="0" w:color="auto"/>
          </w:divBdr>
          <w:divsChild>
            <w:div w:id="1795557381">
              <w:marLeft w:val="0"/>
              <w:marRight w:val="0"/>
              <w:marTop w:val="0"/>
              <w:marBottom w:val="0"/>
              <w:divBdr>
                <w:top w:val="none" w:sz="0" w:space="0" w:color="auto"/>
                <w:left w:val="none" w:sz="0" w:space="0" w:color="auto"/>
                <w:bottom w:val="none" w:sz="0" w:space="0" w:color="auto"/>
                <w:right w:val="none" w:sz="0" w:space="0" w:color="auto"/>
              </w:divBdr>
              <w:divsChild>
                <w:div w:id="228000115">
                  <w:marLeft w:val="0"/>
                  <w:marRight w:val="0"/>
                  <w:marTop w:val="0"/>
                  <w:marBottom w:val="0"/>
                  <w:divBdr>
                    <w:top w:val="none" w:sz="0" w:space="0" w:color="auto"/>
                    <w:left w:val="none" w:sz="0" w:space="0" w:color="auto"/>
                    <w:bottom w:val="none" w:sz="0" w:space="0" w:color="auto"/>
                    <w:right w:val="none" w:sz="0" w:space="0" w:color="auto"/>
                  </w:divBdr>
                  <w:divsChild>
                    <w:div w:id="1155026305">
                      <w:marLeft w:val="0"/>
                      <w:marRight w:val="0"/>
                      <w:marTop w:val="120"/>
                      <w:marBottom w:val="0"/>
                      <w:divBdr>
                        <w:top w:val="none" w:sz="0" w:space="0" w:color="auto"/>
                        <w:left w:val="none" w:sz="0" w:space="0" w:color="auto"/>
                        <w:bottom w:val="none" w:sz="0" w:space="0" w:color="auto"/>
                        <w:right w:val="none" w:sz="0" w:space="0" w:color="auto"/>
                      </w:divBdr>
                    </w:div>
                    <w:div w:id="1121533386">
                      <w:marLeft w:val="0"/>
                      <w:marRight w:val="0"/>
                      <w:marTop w:val="0"/>
                      <w:marBottom w:val="0"/>
                      <w:divBdr>
                        <w:top w:val="none" w:sz="0" w:space="0" w:color="auto"/>
                        <w:left w:val="none" w:sz="0" w:space="0" w:color="auto"/>
                        <w:bottom w:val="none" w:sz="0" w:space="0" w:color="auto"/>
                        <w:right w:val="none" w:sz="0" w:space="0" w:color="auto"/>
                      </w:divBdr>
                      <w:divsChild>
                        <w:div w:id="1793328126">
                          <w:marLeft w:val="0"/>
                          <w:marRight w:val="0"/>
                          <w:marTop w:val="0"/>
                          <w:marBottom w:val="0"/>
                          <w:divBdr>
                            <w:top w:val="none" w:sz="0" w:space="0" w:color="auto"/>
                            <w:left w:val="none" w:sz="0" w:space="0" w:color="auto"/>
                            <w:bottom w:val="none" w:sz="0" w:space="0" w:color="auto"/>
                            <w:right w:val="none" w:sz="0" w:space="0" w:color="auto"/>
                          </w:divBdr>
                          <w:divsChild>
                            <w:div w:id="1577393850">
                              <w:marLeft w:val="0"/>
                              <w:marRight w:val="0"/>
                              <w:marTop w:val="120"/>
                              <w:marBottom w:val="0"/>
                              <w:divBdr>
                                <w:top w:val="none" w:sz="0" w:space="0" w:color="auto"/>
                                <w:left w:val="none" w:sz="0" w:space="0" w:color="auto"/>
                                <w:bottom w:val="none" w:sz="0" w:space="0" w:color="auto"/>
                                <w:right w:val="none" w:sz="0" w:space="0" w:color="auto"/>
                              </w:divBdr>
                            </w:div>
                            <w:div w:id="1183667836">
                              <w:marLeft w:val="0"/>
                              <w:marRight w:val="0"/>
                              <w:marTop w:val="0"/>
                              <w:marBottom w:val="0"/>
                              <w:divBdr>
                                <w:top w:val="none" w:sz="0" w:space="0" w:color="auto"/>
                                <w:left w:val="none" w:sz="0" w:space="0" w:color="auto"/>
                                <w:bottom w:val="none" w:sz="0" w:space="0" w:color="auto"/>
                                <w:right w:val="none" w:sz="0" w:space="0" w:color="auto"/>
                              </w:divBdr>
                            </w:div>
                          </w:divsChild>
                        </w:div>
                        <w:div w:id="131216946">
                          <w:marLeft w:val="0"/>
                          <w:marRight w:val="0"/>
                          <w:marTop w:val="0"/>
                          <w:marBottom w:val="0"/>
                          <w:divBdr>
                            <w:top w:val="none" w:sz="0" w:space="0" w:color="auto"/>
                            <w:left w:val="none" w:sz="0" w:space="0" w:color="auto"/>
                            <w:bottom w:val="none" w:sz="0" w:space="0" w:color="auto"/>
                            <w:right w:val="none" w:sz="0" w:space="0" w:color="auto"/>
                          </w:divBdr>
                          <w:divsChild>
                            <w:div w:id="919949578">
                              <w:marLeft w:val="0"/>
                              <w:marRight w:val="0"/>
                              <w:marTop w:val="120"/>
                              <w:marBottom w:val="0"/>
                              <w:divBdr>
                                <w:top w:val="none" w:sz="0" w:space="0" w:color="auto"/>
                                <w:left w:val="none" w:sz="0" w:space="0" w:color="auto"/>
                                <w:bottom w:val="none" w:sz="0" w:space="0" w:color="auto"/>
                                <w:right w:val="none" w:sz="0" w:space="0" w:color="auto"/>
                              </w:divBdr>
                            </w:div>
                            <w:div w:id="1186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2246">
                  <w:marLeft w:val="0"/>
                  <w:marRight w:val="0"/>
                  <w:marTop w:val="0"/>
                  <w:marBottom w:val="0"/>
                  <w:divBdr>
                    <w:top w:val="none" w:sz="0" w:space="0" w:color="auto"/>
                    <w:left w:val="none" w:sz="0" w:space="0" w:color="auto"/>
                    <w:bottom w:val="none" w:sz="0" w:space="0" w:color="auto"/>
                    <w:right w:val="none" w:sz="0" w:space="0" w:color="auto"/>
                  </w:divBdr>
                  <w:divsChild>
                    <w:div w:id="524944121">
                      <w:marLeft w:val="0"/>
                      <w:marRight w:val="0"/>
                      <w:marTop w:val="120"/>
                      <w:marBottom w:val="0"/>
                      <w:divBdr>
                        <w:top w:val="none" w:sz="0" w:space="0" w:color="auto"/>
                        <w:left w:val="none" w:sz="0" w:space="0" w:color="auto"/>
                        <w:bottom w:val="none" w:sz="0" w:space="0" w:color="auto"/>
                        <w:right w:val="none" w:sz="0" w:space="0" w:color="auto"/>
                      </w:divBdr>
                    </w:div>
                    <w:div w:id="558244792">
                      <w:marLeft w:val="0"/>
                      <w:marRight w:val="0"/>
                      <w:marTop w:val="0"/>
                      <w:marBottom w:val="0"/>
                      <w:divBdr>
                        <w:top w:val="none" w:sz="0" w:space="0" w:color="auto"/>
                        <w:left w:val="none" w:sz="0" w:space="0" w:color="auto"/>
                        <w:bottom w:val="none" w:sz="0" w:space="0" w:color="auto"/>
                        <w:right w:val="none" w:sz="0" w:space="0" w:color="auto"/>
                      </w:divBdr>
                    </w:div>
                  </w:divsChild>
                </w:div>
                <w:div w:id="855118955">
                  <w:marLeft w:val="0"/>
                  <w:marRight w:val="0"/>
                  <w:marTop w:val="0"/>
                  <w:marBottom w:val="0"/>
                  <w:divBdr>
                    <w:top w:val="none" w:sz="0" w:space="0" w:color="auto"/>
                    <w:left w:val="none" w:sz="0" w:space="0" w:color="auto"/>
                    <w:bottom w:val="none" w:sz="0" w:space="0" w:color="auto"/>
                    <w:right w:val="none" w:sz="0" w:space="0" w:color="auto"/>
                  </w:divBdr>
                  <w:divsChild>
                    <w:div w:id="145825806">
                      <w:marLeft w:val="0"/>
                      <w:marRight w:val="0"/>
                      <w:marTop w:val="120"/>
                      <w:marBottom w:val="0"/>
                      <w:divBdr>
                        <w:top w:val="none" w:sz="0" w:space="0" w:color="auto"/>
                        <w:left w:val="none" w:sz="0" w:space="0" w:color="auto"/>
                        <w:bottom w:val="none" w:sz="0" w:space="0" w:color="auto"/>
                        <w:right w:val="none" w:sz="0" w:space="0" w:color="auto"/>
                      </w:divBdr>
                    </w:div>
                    <w:div w:id="1477338067">
                      <w:marLeft w:val="0"/>
                      <w:marRight w:val="0"/>
                      <w:marTop w:val="0"/>
                      <w:marBottom w:val="0"/>
                      <w:divBdr>
                        <w:top w:val="none" w:sz="0" w:space="0" w:color="auto"/>
                        <w:left w:val="none" w:sz="0" w:space="0" w:color="auto"/>
                        <w:bottom w:val="none" w:sz="0" w:space="0" w:color="auto"/>
                        <w:right w:val="none" w:sz="0" w:space="0" w:color="auto"/>
                      </w:divBdr>
                    </w:div>
                  </w:divsChild>
                </w:div>
                <w:div w:id="1096512670">
                  <w:marLeft w:val="0"/>
                  <w:marRight w:val="0"/>
                  <w:marTop w:val="0"/>
                  <w:marBottom w:val="0"/>
                  <w:divBdr>
                    <w:top w:val="none" w:sz="0" w:space="0" w:color="auto"/>
                    <w:left w:val="none" w:sz="0" w:space="0" w:color="auto"/>
                    <w:bottom w:val="none" w:sz="0" w:space="0" w:color="auto"/>
                    <w:right w:val="none" w:sz="0" w:space="0" w:color="auto"/>
                  </w:divBdr>
                  <w:divsChild>
                    <w:div w:id="1572042093">
                      <w:marLeft w:val="0"/>
                      <w:marRight w:val="0"/>
                      <w:marTop w:val="120"/>
                      <w:marBottom w:val="0"/>
                      <w:divBdr>
                        <w:top w:val="none" w:sz="0" w:space="0" w:color="auto"/>
                        <w:left w:val="none" w:sz="0" w:space="0" w:color="auto"/>
                        <w:bottom w:val="none" w:sz="0" w:space="0" w:color="auto"/>
                        <w:right w:val="none" w:sz="0" w:space="0" w:color="auto"/>
                      </w:divBdr>
                    </w:div>
                    <w:div w:id="2139949689">
                      <w:marLeft w:val="0"/>
                      <w:marRight w:val="0"/>
                      <w:marTop w:val="0"/>
                      <w:marBottom w:val="0"/>
                      <w:divBdr>
                        <w:top w:val="none" w:sz="0" w:space="0" w:color="auto"/>
                        <w:left w:val="none" w:sz="0" w:space="0" w:color="auto"/>
                        <w:bottom w:val="none" w:sz="0" w:space="0" w:color="auto"/>
                        <w:right w:val="none" w:sz="0" w:space="0" w:color="auto"/>
                      </w:divBdr>
                    </w:div>
                  </w:divsChild>
                </w:div>
                <w:div w:id="398788561">
                  <w:marLeft w:val="0"/>
                  <w:marRight w:val="0"/>
                  <w:marTop w:val="0"/>
                  <w:marBottom w:val="0"/>
                  <w:divBdr>
                    <w:top w:val="none" w:sz="0" w:space="0" w:color="auto"/>
                    <w:left w:val="none" w:sz="0" w:space="0" w:color="auto"/>
                    <w:bottom w:val="none" w:sz="0" w:space="0" w:color="auto"/>
                    <w:right w:val="none" w:sz="0" w:space="0" w:color="auto"/>
                  </w:divBdr>
                  <w:divsChild>
                    <w:div w:id="2138375476">
                      <w:marLeft w:val="0"/>
                      <w:marRight w:val="0"/>
                      <w:marTop w:val="120"/>
                      <w:marBottom w:val="0"/>
                      <w:divBdr>
                        <w:top w:val="none" w:sz="0" w:space="0" w:color="auto"/>
                        <w:left w:val="none" w:sz="0" w:space="0" w:color="auto"/>
                        <w:bottom w:val="none" w:sz="0" w:space="0" w:color="auto"/>
                        <w:right w:val="none" w:sz="0" w:space="0" w:color="auto"/>
                      </w:divBdr>
                    </w:div>
                    <w:div w:id="8260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2801">
      <w:bodyDiv w:val="1"/>
      <w:marLeft w:val="0"/>
      <w:marRight w:val="0"/>
      <w:marTop w:val="0"/>
      <w:marBottom w:val="0"/>
      <w:divBdr>
        <w:top w:val="none" w:sz="0" w:space="0" w:color="auto"/>
        <w:left w:val="none" w:sz="0" w:space="0" w:color="auto"/>
        <w:bottom w:val="none" w:sz="0" w:space="0" w:color="auto"/>
        <w:right w:val="none" w:sz="0" w:space="0" w:color="auto"/>
      </w:divBdr>
      <w:divsChild>
        <w:div w:id="2134640328">
          <w:marLeft w:val="0"/>
          <w:marRight w:val="0"/>
          <w:marTop w:val="0"/>
          <w:marBottom w:val="0"/>
          <w:divBdr>
            <w:top w:val="none" w:sz="0" w:space="0" w:color="auto"/>
            <w:left w:val="none" w:sz="0" w:space="0" w:color="auto"/>
            <w:bottom w:val="none" w:sz="0" w:space="0" w:color="auto"/>
            <w:right w:val="none" w:sz="0" w:space="0" w:color="auto"/>
          </w:divBdr>
          <w:divsChild>
            <w:div w:id="1916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478">
      <w:bodyDiv w:val="1"/>
      <w:marLeft w:val="0"/>
      <w:marRight w:val="0"/>
      <w:marTop w:val="0"/>
      <w:marBottom w:val="0"/>
      <w:divBdr>
        <w:top w:val="none" w:sz="0" w:space="0" w:color="auto"/>
        <w:left w:val="none" w:sz="0" w:space="0" w:color="auto"/>
        <w:bottom w:val="none" w:sz="0" w:space="0" w:color="auto"/>
        <w:right w:val="none" w:sz="0" w:space="0" w:color="auto"/>
      </w:divBdr>
      <w:divsChild>
        <w:div w:id="413285499">
          <w:marLeft w:val="0"/>
          <w:marRight w:val="0"/>
          <w:marTop w:val="0"/>
          <w:marBottom w:val="0"/>
          <w:divBdr>
            <w:top w:val="none" w:sz="0" w:space="0" w:color="auto"/>
            <w:left w:val="none" w:sz="0" w:space="0" w:color="auto"/>
            <w:bottom w:val="none" w:sz="0" w:space="0" w:color="auto"/>
            <w:right w:val="none" w:sz="0" w:space="0" w:color="auto"/>
          </w:divBdr>
        </w:div>
        <w:div w:id="1464494744">
          <w:marLeft w:val="0"/>
          <w:marRight w:val="0"/>
          <w:marTop w:val="0"/>
          <w:marBottom w:val="0"/>
          <w:divBdr>
            <w:top w:val="none" w:sz="0" w:space="0" w:color="auto"/>
            <w:left w:val="none" w:sz="0" w:space="0" w:color="auto"/>
            <w:bottom w:val="none" w:sz="0" w:space="0" w:color="auto"/>
            <w:right w:val="none" w:sz="0" w:space="0" w:color="auto"/>
          </w:divBdr>
          <w:divsChild>
            <w:div w:id="1285036323">
              <w:marLeft w:val="0"/>
              <w:marRight w:val="0"/>
              <w:marTop w:val="0"/>
              <w:marBottom w:val="0"/>
              <w:divBdr>
                <w:top w:val="none" w:sz="0" w:space="0" w:color="auto"/>
                <w:left w:val="none" w:sz="0" w:space="0" w:color="auto"/>
                <w:bottom w:val="none" w:sz="0" w:space="0" w:color="auto"/>
                <w:right w:val="none" w:sz="0" w:space="0" w:color="auto"/>
              </w:divBdr>
            </w:div>
          </w:divsChild>
        </w:div>
        <w:div w:id="315185448">
          <w:marLeft w:val="0"/>
          <w:marRight w:val="0"/>
          <w:marTop w:val="0"/>
          <w:marBottom w:val="0"/>
          <w:divBdr>
            <w:top w:val="none" w:sz="0" w:space="0" w:color="auto"/>
            <w:left w:val="none" w:sz="0" w:space="0" w:color="auto"/>
            <w:bottom w:val="none" w:sz="0" w:space="0" w:color="auto"/>
            <w:right w:val="none" w:sz="0" w:space="0" w:color="auto"/>
          </w:divBdr>
          <w:divsChild>
            <w:div w:id="2090999594">
              <w:marLeft w:val="0"/>
              <w:marRight w:val="0"/>
              <w:marTop w:val="120"/>
              <w:marBottom w:val="0"/>
              <w:divBdr>
                <w:top w:val="none" w:sz="0" w:space="0" w:color="auto"/>
                <w:left w:val="none" w:sz="0" w:space="0" w:color="auto"/>
                <w:bottom w:val="none" w:sz="0" w:space="0" w:color="auto"/>
                <w:right w:val="none" w:sz="0" w:space="0" w:color="auto"/>
              </w:divBdr>
            </w:div>
            <w:div w:id="846672933">
              <w:marLeft w:val="0"/>
              <w:marRight w:val="0"/>
              <w:marTop w:val="0"/>
              <w:marBottom w:val="0"/>
              <w:divBdr>
                <w:top w:val="none" w:sz="0" w:space="0" w:color="auto"/>
                <w:left w:val="none" w:sz="0" w:space="0" w:color="auto"/>
                <w:bottom w:val="none" w:sz="0" w:space="0" w:color="auto"/>
                <w:right w:val="none" w:sz="0" w:space="0" w:color="auto"/>
              </w:divBdr>
            </w:div>
          </w:divsChild>
        </w:div>
        <w:div w:id="1844468861">
          <w:marLeft w:val="0"/>
          <w:marRight w:val="0"/>
          <w:marTop w:val="0"/>
          <w:marBottom w:val="0"/>
          <w:divBdr>
            <w:top w:val="none" w:sz="0" w:space="0" w:color="auto"/>
            <w:left w:val="none" w:sz="0" w:space="0" w:color="auto"/>
            <w:bottom w:val="none" w:sz="0" w:space="0" w:color="auto"/>
            <w:right w:val="none" w:sz="0" w:space="0" w:color="auto"/>
          </w:divBdr>
          <w:divsChild>
            <w:div w:id="110709049">
              <w:marLeft w:val="0"/>
              <w:marRight w:val="0"/>
              <w:marTop w:val="120"/>
              <w:marBottom w:val="0"/>
              <w:divBdr>
                <w:top w:val="none" w:sz="0" w:space="0" w:color="auto"/>
                <w:left w:val="none" w:sz="0" w:space="0" w:color="auto"/>
                <w:bottom w:val="none" w:sz="0" w:space="0" w:color="auto"/>
                <w:right w:val="none" w:sz="0" w:space="0" w:color="auto"/>
              </w:divBdr>
            </w:div>
            <w:div w:id="9472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62764">
      <w:bodyDiv w:val="1"/>
      <w:marLeft w:val="0"/>
      <w:marRight w:val="0"/>
      <w:marTop w:val="0"/>
      <w:marBottom w:val="0"/>
      <w:divBdr>
        <w:top w:val="none" w:sz="0" w:space="0" w:color="auto"/>
        <w:left w:val="none" w:sz="0" w:space="0" w:color="auto"/>
        <w:bottom w:val="none" w:sz="0" w:space="0" w:color="auto"/>
        <w:right w:val="none" w:sz="0" w:space="0" w:color="auto"/>
      </w:divBdr>
      <w:divsChild>
        <w:div w:id="2084789403">
          <w:marLeft w:val="0"/>
          <w:marRight w:val="0"/>
          <w:marTop w:val="0"/>
          <w:marBottom w:val="0"/>
          <w:divBdr>
            <w:top w:val="none" w:sz="0" w:space="0" w:color="auto"/>
            <w:left w:val="none" w:sz="0" w:space="0" w:color="auto"/>
            <w:bottom w:val="none" w:sz="0" w:space="0" w:color="auto"/>
            <w:right w:val="none" w:sz="0" w:space="0" w:color="auto"/>
          </w:divBdr>
          <w:divsChild>
            <w:div w:id="9458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2746">
      <w:bodyDiv w:val="1"/>
      <w:marLeft w:val="0"/>
      <w:marRight w:val="0"/>
      <w:marTop w:val="0"/>
      <w:marBottom w:val="0"/>
      <w:divBdr>
        <w:top w:val="none" w:sz="0" w:space="0" w:color="auto"/>
        <w:left w:val="none" w:sz="0" w:space="0" w:color="auto"/>
        <w:bottom w:val="none" w:sz="0" w:space="0" w:color="auto"/>
        <w:right w:val="none" w:sz="0" w:space="0" w:color="auto"/>
      </w:divBdr>
      <w:divsChild>
        <w:div w:id="1153988634">
          <w:marLeft w:val="0"/>
          <w:marRight w:val="0"/>
          <w:marTop w:val="0"/>
          <w:marBottom w:val="0"/>
          <w:divBdr>
            <w:top w:val="none" w:sz="0" w:space="0" w:color="auto"/>
            <w:left w:val="none" w:sz="0" w:space="0" w:color="auto"/>
            <w:bottom w:val="none" w:sz="0" w:space="0" w:color="auto"/>
            <w:right w:val="none" w:sz="0" w:space="0" w:color="auto"/>
          </w:divBdr>
          <w:divsChild>
            <w:div w:id="19139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1871">
      <w:bodyDiv w:val="1"/>
      <w:marLeft w:val="0"/>
      <w:marRight w:val="0"/>
      <w:marTop w:val="0"/>
      <w:marBottom w:val="0"/>
      <w:divBdr>
        <w:top w:val="none" w:sz="0" w:space="0" w:color="auto"/>
        <w:left w:val="none" w:sz="0" w:space="0" w:color="auto"/>
        <w:bottom w:val="none" w:sz="0" w:space="0" w:color="auto"/>
        <w:right w:val="none" w:sz="0" w:space="0" w:color="auto"/>
      </w:divBdr>
      <w:divsChild>
        <w:div w:id="1434978049">
          <w:marLeft w:val="0"/>
          <w:marRight w:val="0"/>
          <w:marTop w:val="0"/>
          <w:marBottom w:val="0"/>
          <w:divBdr>
            <w:top w:val="none" w:sz="0" w:space="0" w:color="auto"/>
            <w:left w:val="none" w:sz="0" w:space="0" w:color="auto"/>
            <w:bottom w:val="none" w:sz="0" w:space="0" w:color="auto"/>
            <w:right w:val="none" w:sz="0" w:space="0" w:color="auto"/>
          </w:divBdr>
          <w:divsChild>
            <w:div w:id="306322863">
              <w:marLeft w:val="0"/>
              <w:marRight w:val="0"/>
              <w:marTop w:val="0"/>
              <w:marBottom w:val="0"/>
              <w:divBdr>
                <w:top w:val="none" w:sz="0" w:space="0" w:color="auto"/>
                <w:left w:val="none" w:sz="0" w:space="0" w:color="auto"/>
                <w:bottom w:val="none" w:sz="0" w:space="0" w:color="auto"/>
                <w:right w:val="none" w:sz="0" w:space="0" w:color="auto"/>
              </w:divBdr>
            </w:div>
            <w:div w:id="1032389764">
              <w:marLeft w:val="0"/>
              <w:marRight w:val="0"/>
              <w:marTop w:val="0"/>
              <w:marBottom w:val="0"/>
              <w:divBdr>
                <w:top w:val="none" w:sz="0" w:space="0" w:color="auto"/>
                <w:left w:val="none" w:sz="0" w:space="0" w:color="auto"/>
                <w:bottom w:val="none" w:sz="0" w:space="0" w:color="auto"/>
                <w:right w:val="none" w:sz="0" w:space="0" w:color="auto"/>
              </w:divBdr>
              <w:divsChild>
                <w:div w:id="12185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2718">
      <w:bodyDiv w:val="1"/>
      <w:marLeft w:val="0"/>
      <w:marRight w:val="0"/>
      <w:marTop w:val="0"/>
      <w:marBottom w:val="0"/>
      <w:divBdr>
        <w:top w:val="none" w:sz="0" w:space="0" w:color="auto"/>
        <w:left w:val="none" w:sz="0" w:space="0" w:color="auto"/>
        <w:bottom w:val="none" w:sz="0" w:space="0" w:color="auto"/>
        <w:right w:val="none" w:sz="0" w:space="0" w:color="auto"/>
      </w:divBdr>
      <w:divsChild>
        <w:div w:id="1260137957">
          <w:marLeft w:val="0"/>
          <w:marRight w:val="0"/>
          <w:marTop w:val="0"/>
          <w:marBottom w:val="0"/>
          <w:divBdr>
            <w:top w:val="none" w:sz="0" w:space="0" w:color="auto"/>
            <w:left w:val="none" w:sz="0" w:space="0" w:color="auto"/>
            <w:bottom w:val="none" w:sz="0" w:space="0" w:color="auto"/>
            <w:right w:val="none" w:sz="0" w:space="0" w:color="auto"/>
          </w:divBdr>
        </w:div>
      </w:divsChild>
    </w:div>
    <w:div w:id="1031761799">
      <w:bodyDiv w:val="1"/>
      <w:marLeft w:val="0"/>
      <w:marRight w:val="0"/>
      <w:marTop w:val="0"/>
      <w:marBottom w:val="0"/>
      <w:divBdr>
        <w:top w:val="none" w:sz="0" w:space="0" w:color="auto"/>
        <w:left w:val="none" w:sz="0" w:space="0" w:color="auto"/>
        <w:bottom w:val="none" w:sz="0" w:space="0" w:color="auto"/>
        <w:right w:val="none" w:sz="0" w:space="0" w:color="auto"/>
      </w:divBdr>
    </w:div>
    <w:div w:id="1051806288">
      <w:bodyDiv w:val="1"/>
      <w:marLeft w:val="0"/>
      <w:marRight w:val="0"/>
      <w:marTop w:val="0"/>
      <w:marBottom w:val="0"/>
      <w:divBdr>
        <w:top w:val="none" w:sz="0" w:space="0" w:color="auto"/>
        <w:left w:val="none" w:sz="0" w:space="0" w:color="auto"/>
        <w:bottom w:val="none" w:sz="0" w:space="0" w:color="auto"/>
        <w:right w:val="none" w:sz="0" w:space="0" w:color="auto"/>
      </w:divBdr>
      <w:divsChild>
        <w:div w:id="128061015">
          <w:marLeft w:val="0"/>
          <w:marRight w:val="0"/>
          <w:marTop w:val="0"/>
          <w:marBottom w:val="0"/>
          <w:divBdr>
            <w:top w:val="none" w:sz="0" w:space="0" w:color="auto"/>
            <w:left w:val="none" w:sz="0" w:space="0" w:color="auto"/>
            <w:bottom w:val="none" w:sz="0" w:space="0" w:color="auto"/>
            <w:right w:val="none" w:sz="0" w:space="0" w:color="auto"/>
          </w:divBdr>
        </w:div>
      </w:divsChild>
    </w:div>
    <w:div w:id="1058474111">
      <w:bodyDiv w:val="1"/>
      <w:marLeft w:val="0"/>
      <w:marRight w:val="0"/>
      <w:marTop w:val="0"/>
      <w:marBottom w:val="0"/>
      <w:divBdr>
        <w:top w:val="none" w:sz="0" w:space="0" w:color="auto"/>
        <w:left w:val="none" w:sz="0" w:space="0" w:color="auto"/>
        <w:bottom w:val="none" w:sz="0" w:space="0" w:color="auto"/>
        <w:right w:val="none" w:sz="0" w:space="0" w:color="auto"/>
      </w:divBdr>
      <w:divsChild>
        <w:div w:id="1569151556">
          <w:marLeft w:val="0"/>
          <w:marRight w:val="0"/>
          <w:marTop w:val="0"/>
          <w:marBottom w:val="0"/>
          <w:divBdr>
            <w:top w:val="none" w:sz="0" w:space="0" w:color="auto"/>
            <w:left w:val="none" w:sz="0" w:space="0" w:color="auto"/>
            <w:bottom w:val="none" w:sz="0" w:space="0" w:color="auto"/>
            <w:right w:val="none" w:sz="0" w:space="0" w:color="auto"/>
          </w:divBdr>
        </w:div>
        <w:div w:id="1702433753">
          <w:marLeft w:val="0"/>
          <w:marRight w:val="0"/>
          <w:marTop w:val="0"/>
          <w:marBottom w:val="0"/>
          <w:divBdr>
            <w:top w:val="none" w:sz="0" w:space="0" w:color="auto"/>
            <w:left w:val="none" w:sz="0" w:space="0" w:color="auto"/>
            <w:bottom w:val="none" w:sz="0" w:space="0" w:color="auto"/>
            <w:right w:val="none" w:sz="0" w:space="0" w:color="auto"/>
          </w:divBdr>
          <w:divsChild>
            <w:div w:id="821166313">
              <w:marLeft w:val="0"/>
              <w:marRight w:val="0"/>
              <w:marTop w:val="0"/>
              <w:marBottom w:val="0"/>
              <w:divBdr>
                <w:top w:val="none" w:sz="0" w:space="0" w:color="auto"/>
                <w:left w:val="none" w:sz="0" w:space="0" w:color="auto"/>
                <w:bottom w:val="none" w:sz="0" w:space="0" w:color="auto"/>
                <w:right w:val="none" w:sz="0" w:space="0" w:color="auto"/>
              </w:divBdr>
            </w:div>
          </w:divsChild>
        </w:div>
        <w:div w:id="525217236">
          <w:marLeft w:val="0"/>
          <w:marRight w:val="0"/>
          <w:marTop w:val="0"/>
          <w:marBottom w:val="0"/>
          <w:divBdr>
            <w:top w:val="none" w:sz="0" w:space="0" w:color="auto"/>
            <w:left w:val="none" w:sz="0" w:space="0" w:color="auto"/>
            <w:bottom w:val="none" w:sz="0" w:space="0" w:color="auto"/>
            <w:right w:val="none" w:sz="0" w:space="0" w:color="auto"/>
          </w:divBdr>
          <w:divsChild>
            <w:div w:id="2115398120">
              <w:marLeft w:val="0"/>
              <w:marRight w:val="0"/>
              <w:marTop w:val="120"/>
              <w:marBottom w:val="0"/>
              <w:divBdr>
                <w:top w:val="none" w:sz="0" w:space="0" w:color="auto"/>
                <w:left w:val="none" w:sz="0" w:space="0" w:color="auto"/>
                <w:bottom w:val="none" w:sz="0" w:space="0" w:color="auto"/>
                <w:right w:val="none" w:sz="0" w:space="0" w:color="auto"/>
              </w:divBdr>
            </w:div>
            <w:div w:id="436944311">
              <w:marLeft w:val="0"/>
              <w:marRight w:val="0"/>
              <w:marTop w:val="0"/>
              <w:marBottom w:val="0"/>
              <w:divBdr>
                <w:top w:val="none" w:sz="0" w:space="0" w:color="auto"/>
                <w:left w:val="none" w:sz="0" w:space="0" w:color="auto"/>
                <w:bottom w:val="none" w:sz="0" w:space="0" w:color="auto"/>
                <w:right w:val="none" w:sz="0" w:space="0" w:color="auto"/>
              </w:divBdr>
            </w:div>
          </w:divsChild>
        </w:div>
        <w:div w:id="1639653370">
          <w:marLeft w:val="0"/>
          <w:marRight w:val="0"/>
          <w:marTop w:val="0"/>
          <w:marBottom w:val="0"/>
          <w:divBdr>
            <w:top w:val="none" w:sz="0" w:space="0" w:color="auto"/>
            <w:left w:val="none" w:sz="0" w:space="0" w:color="auto"/>
            <w:bottom w:val="none" w:sz="0" w:space="0" w:color="auto"/>
            <w:right w:val="none" w:sz="0" w:space="0" w:color="auto"/>
          </w:divBdr>
          <w:divsChild>
            <w:div w:id="1013799770">
              <w:marLeft w:val="0"/>
              <w:marRight w:val="0"/>
              <w:marTop w:val="120"/>
              <w:marBottom w:val="0"/>
              <w:divBdr>
                <w:top w:val="none" w:sz="0" w:space="0" w:color="auto"/>
                <w:left w:val="none" w:sz="0" w:space="0" w:color="auto"/>
                <w:bottom w:val="none" w:sz="0" w:space="0" w:color="auto"/>
                <w:right w:val="none" w:sz="0" w:space="0" w:color="auto"/>
              </w:divBdr>
            </w:div>
            <w:div w:id="5699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7530">
      <w:bodyDiv w:val="1"/>
      <w:marLeft w:val="0"/>
      <w:marRight w:val="0"/>
      <w:marTop w:val="0"/>
      <w:marBottom w:val="0"/>
      <w:divBdr>
        <w:top w:val="none" w:sz="0" w:space="0" w:color="auto"/>
        <w:left w:val="none" w:sz="0" w:space="0" w:color="auto"/>
        <w:bottom w:val="none" w:sz="0" w:space="0" w:color="auto"/>
        <w:right w:val="none" w:sz="0" w:space="0" w:color="auto"/>
      </w:divBdr>
      <w:divsChild>
        <w:div w:id="1317143577">
          <w:marLeft w:val="0"/>
          <w:marRight w:val="0"/>
          <w:marTop w:val="0"/>
          <w:marBottom w:val="0"/>
          <w:divBdr>
            <w:top w:val="none" w:sz="0" w:space="0" w:color="auto"/>
            <w:left w:val="none" w:sz="0" w:space="0" w:color="auto"/>
            <w:bottom w:val="none" w:sz="0" w:space="0" w:color="auto"/>
            <w:right w:val="none" w:sz="0" w:space="0" w:color="auto"/>
          </w:divBdr>
        </w:div>
      </w:divsChild>
    </w:div>
    <w:div w:id="1222013813">
      <w:bodyDiv w:val="1"/>
      <w:marLeft w:val="0"/>
      <w:marRight w:val="0"/>
      <w:marTop w:val="0"/>
      <w:marBottom w:val="0"/>
      <w:divBdr>
        <w:top w:val="none" w:sz="0" w:space="0" w:color="auto"/>
        <w:left w:val="none" w:sz="0" w:space="0" w:color="auto"/>
        <w:bottom w:val="none" w:sz="0" w:space="0" w:color="auto"/>
        <w:right w:val="none" w:sz="0" w:space="0" w:color="auto"/>
      </w:divBdr>
      <w:divsChild>
        <w:div w:id="903873278">
          <w:marLeft w:val="0"/>
          <w:marRight w:val="0"/>
          <w:marTop w:val="0"/>
          <w:marBottom w:val="0"/>
          <w:divBdr>
            <w:top w:val="none" w:sz="0" w:space="0" w:color="auto"/>
            <w:left w:val="none" w:sz="0" w:space="0" w:color="auto"/>
            <w:bottom w:val="none" w:sz="0" w:space="0" w:color="auto"/>
            <w:right w:val="none" w:sz="0" w:space="0" w:color="auto"/>
          </w:divBdr>
        </w:div>
      </w:divsChild>
    </w:div>
    <w:div w:id="1267811761">
      <w:bodyDiv w:val="1"/>
      <w:marLeft w:val="0"/>
      <w:marRight w:val="0"/>
      <w:marTop w:val="0"/>
      <w:marBottom w:val="0"/>
      <w:divBdr>
        <w:top w:val="none" w:sz="0" w:space="0" w:color="auto"/>
        <w:left w:val="none" w:sz="0" w:space="0" w:color="auto"/>
        <w:bottom w:val="none" w:sz="0" w:space="0" w:color="auto"/>
        <w:right w:val="none" w:sz="0" w:space="0" w:color="auto"/>
      </w:divBdr>
      <w:divsChild>
        <w:div w:id="915477377">
          <w:marLeft w:val="0"/>
          <w:marRight w:val="0"/>
          <w:marTop w:val="0"/>
          <w:marBottom w:val="0"/>
          <w:divBdr>
            <w:top w:val="none" w:sz="0" w:space="0" w:color="auto"/>
            <w:left w:val="none" w:sz="0" w:space="0" w:color="auto"/>
            <w:bottom w:val="none" w:sz="0" w:space="0" w:color="auto"/>
            <w:right w:val="none" w:sz="0" w:space="0" w:color="auto"/>
          </w:divBdr>
          <w:divsChild>
            <w:div w:id="788553705">
              <w:marLeft w:val="0"/>
              <w:marRight w:val="0"/>
              <w:marTop w:val="0"/>
              <w:marBottom w:val="0"/>
              <w:divBdr>
                <w:top w:val="none" w:sz="0" w:space="0" w:color="auto"/>
                <w:left w:val="none" w:sz="0" w:space="0" w:color="auto"/>
                <w:bottom w:val="none" w:sz="0" w:space="0" w:color="auto"/>
                <w:right w:val="none" w:sz="0" w:space="0" w:color="auto"/>
              </w:divBdr>
              <w:divsChild>
                <w:div w:id="756514025">
                  <w:marLeft w:val="0"/>
                  <w:marRight w:val="0"/>
                  <w:marTop w:val="120"/>
                  <w:marBottom w:val="0"/>
                  <w:divBdr>
                    <w:top w:val="none" w:sz="0" w:space="0" w:color="auto"/>
                    <w:left w:val="none" w:sz="0" w:space="0" w:color="auto"/>
                    <w:bottom w:val="none" w:sz="0" w:space="0" w:color="auto"/>
                    <w:right w:val="none" w:sz="0" w:space="0" w:color="auto"/>
                  </w:divBdr>
                </w:div>
                <w:div w:id="473565342">
                  <w:marLeft w:val="0"/>
                  <w:marRight w:val="0"/>
                  <w:marTop w:val="0"/>
                  <w:marBottom w:val="0"/>
                  <w:divBdr>
                    <w:top w:val="none" w:sz="0" w:space="0" w:color="auto"/>
                    <w:left w:val="none" w:sz="0" w:space="0" w:color="auto"/>
                    <w:bottom w:val="none" w:sz="0" w:space="0" w:color="auto"/>
                    <w:right w:val="none" w:sz="0" w:space="0" w:color="auto"/>
                  </w:divBdr>
                </w:div>
              </w:divsChild>
            </w:div>
            <w:div w:id="1238589955">
              <w:marLeft w:val="0"/>
              <w:marRight w:val="0"/>
              <w:marTop w:val="0"/>
              <w:marBottom w:val="0"/>
              <w:divBdr>
                <w:top w:val="none" w:sz="0" w:space="0" w:color="auto"/>
                <w:left w:val="none" w:sz="0" w:space="0" w:color="auto"/>
                <w:bottom w:val="none" w:sz="0" w:space="0" w:color="auto"/>
                <w:right w:val="none" w:sz="0" w:space="0" w:color="auto"/>
              </w:divBdr>
              <w:divsChild>
                <w:div w:id="42217879">
                  <w:marLeft w:val="0"/>
                  <w:marRight w:val="0"/>
                  <w:marTop w:val="120"/>
                  <w:marBottom w:val="0"/>
                  <w:divBdr>
                    <w:top w:val="none" w:sz="0" w:space="0" w:color="auto"/>
                    <w:left w:val="none" w:sz="0" w:space="0" w:color="auto"/>
                    <w:bottom w:val="none" w:sz="0" w:space="0" w:color="auto"/>
                    <w:right w:val="none" w:sz="0" w:space="0" w:color="auto"/>
                  </w:divBdr>
                </w:div>
                <w:div w:id="204949251">
                  <w:marLeft w:val="0"/>
                  <w:marRight w:val="0"/>
                  <w:marTop w:val="0"/>
                  <w:marBottom w:val="0"/>
                  <w:divBdr>
                    <w:top w:val="none" w:sz="0" w:space="0" w:color="auto"/>
                    <w:left w:val="none" w:sz="0" w:space="0" w:color="auto"/>
                    <w:bottom w:val="none" w:sz="0" w:space="0" w:color="auto"/>
                    <w:right w:val="none" w:sz="0" w:space="0" w:color="auto"/>
                  </w:divBdr>
                </w:div>
              </w:divsChild>
            </w:div>
            <w:div w:id="1179663826">
              <w:marLeft w:val="0"/>
              <w:marRight w:val="0"/>
              <w:marTop w:val="0"/>
              <w:marBottom w:val="0"/>
              <w:divBdr>
                <w:top w:val="none" w:sz="0" w:space="0" w:color="auto"/>
                <w:left w:val="none" w:sz="0" w:space="0" w:color="auto"/>
                <w:bottom w:val="none" w:sz="0" w:space="0" w:color="auto"/>
                <w:right w:val="none" w:sz="0" w:space="0" w:color="auto"/>
              </w:divBdr>
              <w:divsChild>
                <w:div w:id="771171833">
                  <w:marLeft w:val="0"/>
                  <w:marRight w:val="0"/>
                  <w:marTop w:val="120"/>
                  <w:marBottom w:val="0"/>
                  <w:divBdr>
                    <w:top w:val="none" w:sz="0" w:space="0" w:color="auto"/>
                    <w:left w:val="none" w:sz="0" w:space="0" w:color="auto"/>
                    <w:bottom w:val="none" w:sz="0" w:space="0" w:color="auto"/>
                    <w:right w:val="none" w:sz="0" w:space="0" w:color="auto"/>
                  </w:divBdr>
                </w:div>
                <w:div w:id="11180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88712">
      <w:bodyDiv w:val="1"/>
      <w:marLeft w:val="0"/>
      <w:marRight w:val="0"/>
      <w:marTop w:val="0"/>
      <w:marBottom w:val="0"/>
      <w:divBdr>
        <w:top w:val="none" w:sz="0" w:space="0" w:color="auto"/>
        <w:left w:val="none" w:sz="0" w:space="0" w:color="auto"/>
        <w:bottom w:val="none" w:sz="0" w:space="0" w:color="auto"/>
        <w:right w:val="none" w:sz="0" w:space="0" w:color="auto"/>
      </w:divBdr>
      <w:divsChild>
        <w:div w:id="1298952619">
          <w:marLeft w:val="0"/>
          <w:marRight w:val="0"/>
          <w:marTop w:val="0"/>
          <w:marBottom w:val="0"/>
          <w:divBdr>
            <w:top w:val="none" w:sz="0" w:space="0" w:color="auto"/>
            <w:left w:val="none" w:sz="0" w:space="0" w:color="auto"/>
            <w:bottom w:val="none" w:sz="0" w:space="0" w:color="auto"/>
            <w:right w:val="none" w:sz="0" w:space="0" w:color="auto"/>
          </w:divBdr>
        </w:div>
      </w:divsChild>
    </w:div>
    <w:div w:id="1378704225">
      <w:bodyDiv w:val="1"/>
      <w:marLeft w:val="0"/>
      <w:marRight w:val="0"/>
      <w:marTop w:val="0"/>
      <w:marBottom w:val="0"/>
      <w:divBdr>
        <w:top w:val="none" w:sz="0" w:space="0" w:color="auto"/>
        <w:left w:val="none" w:sz="0" w:space="0" w:color="auto"/>
        <w:bottom w:val="none" w:sz="0" w:space="0" w:color="auto"/>
        <w:right w:val="none" w:sz="0" w:space="0" w:color="auto"/>
      </w:divBdr>
      <w:divsChild>
        <w:div w:id="1320186293">
          <w:marLeft w:val="0"/>
          <w:marRight w:val="0"/>
          <w:marTop w:val="0"/>
          <w:marBottom w:val="0"/>
          <w:divBdr>
            <w:top w:val="none" w:sz="0" w:space="0" w:color="auto"/>
            <w:left w:val="none" w:sz="0" w:space="0" w:color="auto"/>
            <w:bottom w:val="none" w:sz="0" w:space="0" w:color="auto"/>
            <w:right w:val="none" w:sz="0" w:space="0" w:color="auto"/>
          </w:divBdr>
          <w:divsChild>
            <w:div w:id="5872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56536">
      <w:bodyDiv w:val="1"/>
      <w:marLeft w:val="0"/>
      <w:marRight w:val="0"/>
      <w:marTop w:val="0"/>
      <w:marBottom w:val="0"/>
      <w:divBdr>
        <w:top w:val="none" w:sz="0" w:space="0" w:color="auto"/>
        <w:left w:val="none" w:sz="0" w:space="0" w:color="auto"/>
        <w:bottom w:val="none" w:sz="0" w:space="0" w:color="auto"/>
        <w:right w:val="none" w:sz="0" w:space="0" w:color="auto"/>
      </w:divBdr>
      <w:divsChild>
        <w:div w:id="717632831">
          <w:marLeft w:val="0"/>
          <w:marRight w:val="0"/>
          <w:marTop w:val="0"/>
          <w:marBottom w:val="0"/>
          <w:divBdr>
            <w:top w:val="none" w:sz="0" w:space="0" w:color="auto"/>
            <w:left w:val="none" w:sz="0" w:space="0" w:color="auto"/>
            <w:bottom w:val="none" w:sz="0" w:space="0" w:color="auto"/>
            <w:right w:val="none" w:sz="0" w:space="0" w:color="auto"/>
          </w:divBdr>
          <w:divsChild>
            <w:div w:id="14167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21">
      <w:bodyDiv w:val="1"/>
      <w:marLeft w:val="0"/>
      <w:marRight w:val="0"/>
      <w:marTop w:val="0"/>
      <w:marBottom w:val="0"/>
      <w:divBdr>
        <w:top w:val="none" w:sz="0" w:space="0" w:color="auto"/>
        <w:left w:val="none" w:sz="0" w:space="0" w:color="auto"/>
        <w:bottom w:val="none" w:sz="0" w:space="0" w:color="auto"/>
        <w:right w:val="none" w:sz="0" w:space="0" w:color="auto"/>
      </w:divBdr>
      <w:divsChild>
        <w:div w:id="1285964747">
          <w:marLeft w:val="0"/>
          <w:marRight w:val="0"/>
          <w:marTop w:val="0"/>
          <w:marBottom w:val="0"/>
          <w:divBdr>
            <w:top w:val="none" w:sz="0" w:space="0" w:color="auto"/>
            <w:left w:val="none" w:sz="0" w:space="0" w:color="auto"/>
            <w:bottom w:val="none" w:sz="0" w:space="0" w:color="auto"/>
            <w:right w:val="none" w:sz="0" w:space="0" w:color="auto"/>
          </w:divBdr>
        </w:div>
      </w:divsChild>
    </w:div>
    <w:div w:id="1622220507">
      <w:bodyDiv w:val="1"/>
      <w:marLeft w:val="0"/>
      <w:marRight w:val="0"/>
      <w:marTop w:val="0"/>
      <w:marBottom w:val="0"/>
      <w:divBdr>
        <w:top w:val="none" w:sz="0" w:space="0" w:color="auto"/>
        <w:left w:val="none" w:sz="0" w:space="0" w:color="auto"/>
        <w:bottom w:val="none" w:sz="0" w:space="0" w:color="auto"/>
        <w:right w:val="none" w:sz="0" w:space="0" w:color="auto"/>
      </w:divBdr>
      <w:divsChild>
        <w:div w:id="621957705">
          <w:marLeft w:val="0"/>
          <w:marRight w:val="0"/>
          <w:marTop w:val="0"/>
          <w:marBottom w:val="0"/>
          <w:divBdr>
            <w:top w:val="none" w:sz="0" w:space="0" w:color="auto"/>
            <w:left w:val="none" w:sz="0" w:space="0" w:color="auto"/>
            <w:bottom w:val="none" w:sz="0" w:space="0" w:color="auto"/>
            <w:right w:val="none" w:sz="0" w:space="0" w:color="auto"/>
          </w:divBdr>
          <w:divsChild>
            <w:div w:id="18461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9554">
      <w:bodyDiv w:val="1"/>
      <w:marLeft w:val="0"/>
      <w:marRight w:val="0"/>
      <w:marTop w:val="0"/>
      <w:marBottom w:val="0"/>
      <w:divBdr>
        <w:top w:val="none" w:sz="0" w:space="0" w:color="auto"/>
        <w:left w:val="none" w:sz="0" w:space="0" w:color="auto"/>
        <w:bottom w:val="none" w:sz="0" w:space="0" w:color="auto"/>
        <w:right w:val="none" w:sz="0" w:space="0" w:color="auto"/>
      </w:divBdr>
      <w:divsChild>
        <w:div w:id="538251011">
          <w:marLeft w:val="0"/>
          <w:marRight w:val="0"/>
          <w:marTop w:val="0"/>
          <w:marBottom w:val="0"/>
          <w:divBdr>
            <w:top w:val="none" w:sz="0" w:space="0" w:color="auto"/>
            <w:left w:val="none" w:sz="0" w:space="0" w:color="auto"/>
            <w:bottom w:val="none" w:sz="0" w:space="0" w:color="auto"/>
            <w:right w:val="none" w:sz="0" w:space="0" w:color="auto"/>
          </w:divBdr>
        </w:div>
      </w:divsChild>
    </w:div>
    <w:div w:id="1700859113">
      <w:bodyDiv w:val="1"/>
      <w:marLeft w:val="0"/>
      <w:marRight w:val="0"/>
      <w:marTop w:val="0"/>
      <w:marBottom w:val="0"/>
      <w:divBdr>
        <w:top w:val="none" w:sz="0" w:space="0" w:color="auto"/>
        <w:left w:val="none" w:sz="0" w:space="0" w:color="auto"/>
        <w:bottom w:val="none" w:sz="0" w:space="0" w:color="auto"/>
        <w:right w:val="none" w:sz="0" w:space="0" w:color="auto"/>
      </w:divBdr>
      <w:divsChild>
        <w:div w:id="1440371060">
          <w:marLeft w:val="0"/>
          <w:marRight w:val="0"/>
          <w:marTop w:val="0"/>
          <w:marBottom w:val="0"/>
          <w:divBdr>
            <w:top w:val="none" w:sz="0" w:space="0" w:color="auto"/>
            <w:left w:val="none" w:sz="0" w:space="0" w:color="auto"/>
            <w:bottom w:val="none" w:sz="0" w:space="0" w:color="auto"/>
            <w:right w:val="none" w:sz="0" w:space="0" w:color="auto"/>
          </w:divBdr>
          <w:divsChild>
            <w:div w:id="1494176385">
              <w:marLeft w:val="0"/>
              <w:marRight w:val="0"/>
              <w:marTop w:val="0"/>
              <w:marBottom w:val="0"/>
              <w:divBdr>
                <w:top w:val="none" w:sz="0" w:space="0" w:color="auto"/>
                <w:left w:val="none" w:sz="0" w:space="0" w:color="auto"/>
                <w:bottom w:val="none" w:sz="0" w:space="0" w:color="auto"/>
                <w:right w:val="none" w:sz="0" w:space="0" w:color="auto"/>
              </w:divBdr>
              <w:divsChild>
                <w:div w:id="405765120">
                  <w:marLeft w:val="0"/>
                  <w:marRight w:val="0"/>
                  <w:marTop w:val="120"/>
                  <w:marBottom w:val="0"/>
                  <w:divBdr>
                    <w:top w:val="none" w:sz="0" w:space="0" w:color="auto"/>
                    <w:left w:val="none" w:sz="0" w:space="0" w:color="auto"/>
                    <w:bottom w:val="none" w:sz="0" w:space="0" w:color="auto"/>
                    <w:right w:val="none" w:sz="0" w:space="0" w:color="auto"/>
                  </w:divBdr>
                </w:div>
                <w:div w:id="787746943">
                  <w:marLeft w:val="0"/>
                  <w:marRight w:val="0"/>
                  <w:marTop w:val="0"/>
                  <w:marBottom w:val="0"/>
                  <w:divBdr>
                    <w:top w:val="none" w:sz="0" w:space="0" w:color="auto"/>
                    <w:left w:val="none" w:sz="0" w:space="0" w:color="auto"/>
                    <w:bottom w:val="none" w:sz="0" w:space="0" w:color="auto"/>
                    <w:right w:val="none" w:sz="0" w:space="0" w:color="auto"/>
                  </w:divBdr>
                </w:div>
              </w:divsChild>
            </w:div>
            <w:div w:id="598488233">
              <w:marLeft w:val="0"/>
              <w:marRight w:val="0"/>
              <w:marTop w:val="0"/>
              <w:marBottom w:val="0"/>
              <w:divBdr>
                <w:top w:val="none" w:sz="0" w:space="0" w:color="auto"/>
                <w:left w:val="none" w:sz="0" w:space="0" w:color="auto"/>
                <w:bottom w:val="none" w:sz="0" w:space="0" w:color="auto"/>
                <w:right w:val="none" w:sz="0" w:space="0" w:color="auto"/>
              </w:divBdr>
              <w:divsChild>
                <w:div w:id="872306718">
                  <w:marLeft w:val="0"/>
                  <w:marRight w:val="0"/>
                  <w:marTop w:val="120"/>
                  <w:marBottom w:val="0"/>
                  <w:divBdr>
                    <w:top w:val="none" w:sz="0" w:space="0" w:color="auto"/>
                    <w:left w:val="none" w:sz="0" w:space="0" w:color="auto"/>
                    <w:bottom w:val="none" w:sz="0" w:space="0" w:color="auto"/>
                    <w:right w:val="none" w:sz="0" w:space="0" w:color="auto"/>
                  </w:divBdr>
                </w:div>
                <w:div w:id="234509792">
                  <w:marLeft w:val="0"/>
                  <w:marRight w:val="0"/>
                  <w:marTop w:val="0"/>
                  <w:marBottom w:val="0"/>
                  <w:divBdr>
                    <w:top w:val="none" w:sz="0" w:space="0" w:color="auto"/>
                    <w:left w:val="none" w:sz="0" w:space="0" w:color="auto"/>
                    <w:bottom w:val="none" w:sz="0" w:space="0" w:color="auto"/>
                    <w:right w:val="none" w:sz="0" w:space="0" w:color="auto"/>
                  </w:divBdr>
                </w:div>
              </w:divsChild>
            </w:div>
            <w:div w:id="1192036334">
              <w:marLeft w:val="0"/>
              <w:marRight w:val="0"/>
              <w:marTop w:val="0"/>
              <w:marBottom w:val="0"/>
              <w:divBdr>
                <w:top w:val="none" w:sz="0" w:space="0" w:color="auto"/>
                <w:left w:val="none" w:sz="0" w:space="0" w:color="auto"/>
                <w:bottom w:val="none" w:sz="0" w:space="0" w:color="auto"/>
                <w:right w:val="none" w:sz="0" w:space="0" w:color="auto"/>
              </w:divBdr>
              <w:divsChild>
                <w:div w:id="1176727075">
                  <w:marLeft w:val="0"/>
                  <w:marRight w:val="0"/>
                  <w:marTop w:val="120"/>
                  <w:marBottom w:val="0"/>
                  <w:divBdr>
                    <w:top w:val="none" w:sz="0" w:space="0" w:color="auto"/>
                    <w:left w:val="none" w:sz="0" w:space="0" w:color="auto"/>
                    <w:bottom w:val="none" w:sz="0" w:space="0" w:color="auto"/>
                    <w:right w:val="none" w:sz="0" w:space="0" w:color="auto"/>
                  </w:divBdr>
                </w:div>
                <w:div w:id="1417239507">
                  <w:marLeft w:val="0"/>
                  <w:marRight w:val="0"/>
                  <w:marTop w:val="0"/>
                  <w:marBottom w:val="0"/>
                  <w:divBdr>
                    <w:top w:val="none" w:sz="0" w:space="0" w:color="auto"/>
                    <w:left w:val="none" w:sz="0" w:space="0" w:color="auto"/>
                    <w:bottom w:val="none" w:sz="0" w:space="0" w:color="auto"/>
                    <w:right w:val="none" w:sz="0" w:space="0" w:color="auto"/>
                  </w:divBdr>
                </w:div>
              </w:divsChild>
            </w:div>
            <w:div w:id="1348480761">
              <w:marLeft w:val="0"/>
              <w:marRight w:val="0"/>
              <w:marTop w:val="0"/>
              <w:marBottom w:val="0"/>
              <w:divBdr>
                <w:top w:val="none" w:sz="0" w:space="0" w:color="auto"/>
                <w:left w:val="none" w:sz="0" w:space="0" w:color="auto"/>
                <w:bottom w:val="none" w:sz="0" w:space="0" w:color="auto"/>
                <w:right w:val="none" w:sz="0" w:space="0" w:color="auto"/>
              </w:divBdr>
              <w:divsChild>
                <w:div w:id="1165588964">
                  <w:marLeft w:val="0"/>
                  <w:marRight w:val="0"/>
                  <w:marTop w:val="120"/>
                  <w:marBottom w:val="0"/>
                  <w:divBdr>
                    <w:top w:val="none" w:sz="0" w:space="0" w:color="auto"/>
                    <w:left w:val="none" w:sz="0" w:space="0" w:color="auto"/>
                    <w:bottom w:val="none" w:sz="0" w:space="0" w:color="auto"/>
                    <w:right w:val="none" w:sz="0" w:space="0" w:color="auto"/>
                  </w:divBdr>
                </w:div>
                <w:div w:id="1101225455">
                  <w:marLeft w:val="0"/>
                  <w:marRight w:val="0"/>
                  <w:marTop w:val="0"/>
                  <w:marBottom w:val="0"/>
                  <w:divBdr>
                    <w:top w:val="none" w:sz="0" w:space="0" w:color="auto"/>
                    <w:left w:val="none" w:sz="0" w:space="0" w:color="auto"/>
                    <w:bottom w:val="none" w:sz="0" w:space="0" w:color="auto"/>
                    <w:right w:val="none" w:sz="0" w:space="0" w:color="auto"/>
                  </w:divBdr>
                </w:div>
              </w:divsChild>
            </w:div>
            <w:div w:id="712922343">
              <w:marLeft w:val="0"/>
              <w:marRight w:val="0"/>
              <w:marTop w:val="0"/>
              <w:marBottom w:val="0"/>
              <w:divBdr>
                <w:top w:val="none" w:sz="0" w:space="0" w:color="auto"/>
                <w:left w:val="none" w:sz="0" w:space="0" w:color="auto"/>
                <w:bottom w:val="none" w:sz="0" w:space="0" w:color="auto"/>
                <w:right w:val="none" w:sz="0" w:space="0" w:color="auto"/>
              </w:divBdr>
              <w:divsChild>
                <w:div w:id="719205811">
                  <w:marLeft w:val="0"/>
                  <w:marRight w:val="0"/>
                  <w:marTop w:val="120"/>
                  <w:marBottom w:val="0"/>
                  <w:divBdr>
                    <w:top w:val="none" w:sz="0" w:space="0" w:color="auto"/>
                    <w:left w:val="none" w:sz="0" w:space="0" w:color="auto"/>
                    <w:bottom w:val="none" w:sz="0" w:space="0" w:color="auto"/>
                    <w:right w:val="none" w:sz="0" w:space="0" w:color="auto"/>
                  </w:divBdr>
                </w:div>
                <w:div w:id="856239789">
                  <w:marLeft w:val="0"/>
                  <w:marRight w:val="0"/>
                  <w:marTop w:val="0"/>
                  <w:marBottom w:val="0"/>
                  <w:divBdr>
                    <w:top w:val="none" w:sz="0" w:space="0" w:color="auto"/>
                    <w:left w:val="none" w:sz="0" w:space="0" w:color="auto"/>
                    <w:bottom w:val="none" w:sz="0" w:space="0" w:color="auto"/>
                    <w:right w:val="none" w:sz="0" w:space="0" w:color="auto"/>
                  </w:divBdr>
                </w:div>
              </w:divsChild>
            </w:div>
            <w:div w:id="219093866">
              <w:marLeft w:val="0"/>
              <w:marRight w:val="0"/>
              <w:marTop w:val="0"/>
              <w:marBottom w:val="0"/>
              <w:divBdr>
                <w:top w:val="none" w:sz="0" w:space="0" w:color="auto"/>
                <w:left w:val="none" w:sz="0" w:space="0" w:color="auto"/>
                <w:bottom w:val="none" w:sz="0" w:space="0" w:color="auto"/>
                <w:right w:val="none" w:sz="0" w:space="0" w:color="auto"/>
              </w:divBdr>
              <w:divsChild>
                <w:div w:id="855078974">
                  <w:marLeft w:val="0"/>
                  <w:marRight w:val="0"/>
                  <w:marTop w:val="120"/>
                  <w:marBottom w:val="0"/>
                  <w:divBdr>
                    <w:top w:val="none" w:sz="0" w:space="0" w:color="auto"/>
                    <w:left w:val="none" w:sz="0" w:space="0" w:color="auto"/>
                    <w:bottom w:val="none" w:sz="0" w:space="0" w:color="auto"/>
                    <w:right w:val="none" w:sz="0" w:space="0" w:color="auto"/>
                  </w:divBdr>
                </w:div>
                <w:div w:id="523399083">
                  <w:marLeft w:val="0"/>
                  <w:marRight w:val="0"/>
                  <w:marTop w:val="0"/>
                  <w:marBottom w:val="0"/>
                  <w:divBdr>
                    <w:top w:val="none" w:sz="0" w:space="0" w:color="auto"/>
                    <w:left w:val="none" w:sz="0" w:space="0" w:color="auto"/>
                    <w:bottom w:val="none" w:sz="0" w:space="0" w:color="auto"/>
                    <w:right w:val="none" w:sz="0" w:space="0" w:color="auto"/>
                  </w:divBdr>
                </w:div>
              </w:divsChild>
            </w:div>
            <w:div w:id="1279141869">
              <w:marLeft w:val="0"/>
              <w:marRight w:val="0"/>
              <w:marTop w:val="0"/>
              <w:marBottom w:val="0"/>
              <w:divBdr>
                <w:top w:val="none" w:sz="0" w:space="0" w:color="auto"/>
                <w:left w:val="none" w:sz="0" w:space="0" w:color="auto"/>
                <w:bottom w:val="none" w:sz="0" w:space="0" w:color="auto"/>
                <w:right w:val="none" w:sz="0" w:space="0" w:color="auto"/>
              </w:divBdr>
              <w:divsChild>
                <w:div w:id="1149975252">
                  <w:marLeft w:val="0"/>
                  <w:marRight w:val="0"/>
                  <w:marTop w:val="120"/>
                  <w:marBottom w:val="0"/>
                  <w:divBdr>
                    <w:top w:val="none" w:sz="0" w:space="0" w:color="auto"/>
                    <w:left w:val="none" w:sz="0" w:space="0" w:color="auto"/>
                    <w:bottom w:val="none" w:sz="0" w:space="0" w:color="auto"/>
                    <w:right w:val="none" w:sz="0" w:space="0" w:color="auto"/>
                  </w:divBdr>
                </w:div>
                <w:div w:id="44792889">
                  <w:marLeft w:val="0"/>
                  <w:marRight w:val="0"/>
                  <w:marTop w:val="0"/>
                  <w:marBottom w:val="0"/>
                  <w:divBdr>
                    <w:top w:val="none" w:sz="0" w:space="0" w:color="auto"/>
                    <w:left w:val="none" w:sz="0" w:space="0" w:color="auto"/>
                    <w:bottom w:val="none" w:sz="0" w:space="0" w:color="auto"/>
                    <w:right w:val="none" w:sz="0" w:space="0" w:color="auto"/>
                  </w:divBdr>
                </w:div>
              </w:divsChild>
            </w:div>
            <w:div w:id="764837282">
              <w:marLeft w:val="0"/>
              <w:marRight w:val="0"/>
              <w:marTop w:val="0"/>
              <w:marBottom w:val="0"/>
              <w:divBdr>
                <w:top w:val="none" w:sz="0" w:space="0" w:color="auto"/>
                <w:left w:val="none" w:sz="0" w:space="0" w:color="auto"/>
                <w:bottom w:val="none" w:sz="0" w:space="0" w:color="auto"/>
                <w:right w:val="none" w:sz="0" w:space="0" w:color="auto"/>
              </w:divBdr>
              <w:divsChild>
                <w:div w:id="828448154">
                  <w:marLeft w:val="0"/>
                  <w:marRight w:val="0"/>
                  <w:marTop w:val="120"/>
                  <w:marBottom w:val="0"/>
                  <w:divBdr>
                    <w:top w:val="none" w:sz="0" w:space="0" w:color="auto"/>
                    <w:left w:val="none" w:sz="0" w:space="0" w:color="auto"/>
                    <w:bottom w:val="none" w:sz="0" w:space="0" w:color="auto"/>
                    <w:right w:val="none" w:sz="0" w:space="0" w:color="auto"/>
                  </w:divBdr>
                </w:div>
                <w:div w:id="9590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109">
      <w:bodyDiv w:val="1"/>
      <w:marLeft w:val="0"/>
      <w:marRight w:val="0"/>
      <w:marTop w:val="0"/>
      <w:marBottom w:val="0"/>
      <w:divBdr>
        <w:top w:val="none" w:sz="0" w:space="0" w:color="auto"/>
        <w:left w:val="none" w:sz="0" w:space="0" w:color="auto"/>
        <w:bottom w:val="none" w:sz="0" w:space="0" w:color="auto"/>
        <w:right w:val="none" w:sz="0" w:space="0" w:color="auto"/>
      </w:divBdr>
      <w:divsChild>
        <w:div w:id="627510143">
          <w:marLeft w:val="0"/>
          <w:marRight w:val="0"/>
          <w:marTop w:val="0"/>
          <w:marBottom w:val="0"/>
          <w:divBdr>
            <w:top w:val="none" w:sz="0" w:space="0" w:color="auto"/>
            <w:left w:val="none" w:sz="0" w:space="0" w:color="auto"/>
            <w:bottom w:val="none" w:sz="0" w:space="0" w:color="auto"/>
            <w:right w:val="none" w:sz="0" w:space="0" w:color="auto"/>
          </w:divBdr>
        </w:div>
        <w:div w:id="1652253272">
          <w:marLeft w:val="0"/>
          <w:marRight w:val="0"/>
          <w:marTop w:val="0"/>
          <w:marBottom w:val="0"/>
          <w:divBdr>
            <w:top w:val="none" w:sz="0" w:space="0" w:color="auto"/>
            <w:left w:val="none" w:sz="0" w:space="0" w:color="auto"/>
            <w:bottom w:val="none" w:sz="0" w:space="0" w:color="auto"/>
            <w:right w:val="none" w:sz="0" w:space="0" w:color="auto"/>
          </w:divBdr>
          <w:divsChild>
            <w:div w:id="5242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283">
      <w:bodyDiv w:val="1"/>
      <w:marLeft w:val="0"/>
      <w:marRight w:val="0"/>
      <w:marTop w:val="0"/>
      <w:marBottom w:val="0"/>
      <w:divBdr>
        <w:top w:val="none" w:sz="0" w:space="0" w:color="auto"/>
        <w:left w:val="none" w:sz="0" w:space="0" w:color="auto"/>
        <w:bottom w:val="none" w:sz="0" w:space="0" w:color="auto"/>
        <w:right w:val="none" w:sz="0" w:space="0" w:color="auto"/>
      </w:divBdr>
      <w:divsChild>
        <w:div w:id="1771851490">
          <w:marLeft w:val="0"/>
          <w:marRight w:val="0"/>
          <w:marTop w:val="0"/>
          <w:marBottom w:val="0"/>
          <w:divBdr>
            <w:top w:val="none" w:sz="0" w:space="0" w:color="auto"/>
            <w:left w:val="none" w:sz="0" w:space="0" w:color="auto"/>
            <w:bottom w:val="none" w:sz="0" w:space="0" w:color="auto"/>
            <w:right w:val="none" w:sz="0" w:space="0" w:color="auto"/>
          </w:divBdr>
        </w:div>
      </w:divsChild>
    </w:div>
    <w:div w:id="1771662953">
      <w:bodyDiv w:val="1"/>
      <w:marLeft w:val="0"/>
      <w:marRight w:val="0"/>
      <w:marTop w:val="0"/>
      <w:marBottom w:val="0"/>
      <w:divBdr>
        <w:top w:val="none" w:sz="0" w:space="0" w:color="auto"/>
        <w:left w:val="none" w:sz="0" w:space="0" w:color="auto"/>
        <w:bottom w:val="none" w:sz="0" w:space="0" w:color="auto"/>
        <w:right w:val="none" w:sz="0" w:space="0" w:color="auto"/>
      </w:divBdr>
      <w:divsChild>
        <w:div w:id="1235237147">
          <w:marLeft w:val="0"/>
          <w:marRight w:val="0"/>
          <w:marTop w:val="0"/>
          <w:marBottom w:val="0"/>
          <w:divBdr>
            <w:top w:val="none" w:sz="0" w:space="0" w:color="auto"/>
            <w:left w:val="none" w:sz="0" w:space="0" w:color="auto"/>
            <w:bottom w:val="none" w:sz="0" w:space="0" w:color="auto"/>
            <w:right w:val="none" w:sz="0" w:space="0" w:color="auto"/>
          </w:divBdr>
          <w:divsChild>
            <w:div w:id="518274799">
              <w:marLeft w:val="0"/>
              <w:marRight w:val="0"/>
              <w:marTop w:val="0"/>
              <w:marBottom w:val="0"/>
              <w:divBdr>
                <w:top w:val="none" w:sz="0" w:space="0" w:color="auto"/>
                <w:left w:val="none" w:sz="0" w:space="0" w:color="auto"/>
                <w:bottom w:val="none" w:sz="0" w:space="0" w:color="auto"/>
                <w:right w:val="none" w:sz="0" w:space="0" w:color="auto"/>
              </w:divBdr>
              <w:divsChild>
                <w:div w:id="737674879">
                  <w:marLeft w:val="0"/>
                  <w:marRight w:val="0"/>
                  <w:marTop w:val="120"/>
                  <w:marBottom w:val="0"/>
                  <w:divBdr>
                    <w:top w:val="none" w:sz="0" w:space="0" w:color="auto"/>
                    <w:left w:val="none" w:sz="0" w:space="0" w:color="auto"/>
                    <w:bottom w:val="none" w:sz="0" w:space="0" w:color="auto"/>
                    <w:right w:val="none" w:sz="0" w:space="0" w:color="auto"/>
                  </w:divBdr>
                </w:div>
                <w:div w:id="1163161659">
                  <w:marLeft w:val="0"/>
                  <w:marRight w:val="0"/>
                  <w:marTop w:val="0"/>
                  <w:marBottom w:val="0"/>
                  <w:divBdr>
                    <w:top w:val="none" w:sz="0" w:space="0" w:color="auto"/>
                    <w:left w:val="none" w:sz="0" w:space="0" w:color="auto"/>
                    <w:bottom w:val="none" w:sz="0" w:space="0" w:color="auto"/>
                    <w:right w:val="none" w:sz="0" w:space="0" w:color="auto"/>
                  </w:divBdr>
                  <w:divsChild>
                    <w:div w:id="776170745">
                      <w:marLeft w:val="0"/>
                      <w:marRight w:val="0"/>
                      <w:marTop w:val="0"/>
                      <w:marBottom w:val="0"/>
                      <w:divBdr>
                        <w:top w:val="none" w:sz="0" w:space="0" w:color="auto"/>
                        <w:left w:val="none" w:sz="0" w:space="0" w:color="auto"/>
                        <w:bottom w:val="none" w:sz="0" w:space="0" w:color="auto"/>
                        <w:right w:val="none" w:sz="0" w:space="0" w:color="auto"/>
                      </w:divBdr>
                      <w:divsChild>
                        <w:div w:id="1256016659">
                          <w:marLeft w:val="0"/>
                          <w:marRight w:val="0"/>
                          <w:marTop w:val="120"/>
                          <w:marBottom w:val="0"/>
                          <w:divBdr>
                            <w:top w:val="none" w:sz="0" w:space="0" w:color="auto"/>
                            <w:left w:val="none" w:sz="0" w:space="0" w:color="auto"/>
                            <w:bottom w:val="none" w:sz="0" w:space="0" w:color="auto"/>
                            <w:right w:val="none" w:sz="0" w:space="0" w:color="auto"/>
                          </w:divBdr>
                        </w:div>
                        <w:div w:id="1000548970">
                          <w:marLeft w:val="0"/>
                          <w:marRight w:val="0"/>
                          <w:marTop w:val="0"/>
                          <w:marBottom w:val="0"/>
                          <w:divBdr>
                            <w:top w:val="none" w:sz="0" w:space="0" w:color="auto"/>
                            <w:left w:val="none" w:sz="0" w:space="0" w:color="auto"/>
                            <w:bottom w:val="none" w:sz="0" w:space="0" w:color="auto"/>
                            <w:right w:val="none" w:sz="0" w:space="0" w:color="auto"/>
                          </w:divBdr>
                        </w:div>
                      </w:divsChild>
                    </w:div>
                    <w:div w:id="1947541012">
                      <w:marLeft w:val="0"/>
                      <w:marRight w:val="0"/>
                      <w:marTop w:val="0"/>
                      <w:marBottom w:val="0"/>
                      <w:divBdr>
                        <w:top w:val="none" w:sz="0" w:space="0" w:color="auto"/>
                        <w:left w:val="none" w:sz="0" w:space="0" w:color="auto"/>
                        <w:bottom w:val="none" w:sz="0" w:space="0" w:color="auto"/>
                        <w:right w:val="none" w:sz="0" w:space="0" w:color="auto"/>
                      </w:divBdr>
                      <w:divsChild>
                        <w:div w:id="922839771">
                          <w:marLeft w:val="0"/>
                          <w:marRight w:val="0"/>
                          <w:marTop w:val="120"/>
                          <w:marBottom w:val="0"/>
                          <w:divBdr>
                            <w:top w:val="none" w:sz="0" w:space="0" w:color="auto"/>
                            <w:left w:val="none" w:sz="0" w:space="0" w:color="auto"/>
                            <w:bottom w:val="none" w:sz="0" w:space="0" w:color="auto"/>
                            <w:right w:val="none" w:sz="0" w:space="0" w:color="auto"/>
                          </w:divBdr>
                        </w:div>
                        <w:div w:id="1936477256">
                          <w:marLeft w:val="0"/>
                          <w:marRight w:val="0"/>
                          <w:marTop w:val="0"/>
                          <w:marBottom w:val="0"/>
                          <w:divBdr>
                            <w:top w:val="none" w:sz="0" w:space="0" w:color="auto"/>
                            <w:left w:val="none" w:sz="0" w:space="0" w:color="auto"/>
                            <w:bottom w:val="none" w:sz="0" w:space="0" w:color="auto"/>
                            <w:right w:val="none" w:sz="0" w:space="0" w:color="auto"/>
                          </w:divBdr>
                        </w:div>
                      </w:divsChild>
                    </w:div>
                    <w:div w:id="877855019">
                      <w:marLeft w:val="0"/>
                      <w:marRight w:val="0"/>
                      <w:marTop w:val="0"/>
                      <w:marBottom w:val="0"/>
                      <w:divBdr>
                        <w:top w:val="none" w:sz="0" w:space="0" w:color="auto"/>
                        <w:left w:val="none" w:sz="0" w:space="0" w:color="auto"/>
                        <w:bottom w:val="none" w:sz="0" w:space="0" w:color="auto"/>
                        <w:right w:val="none" w:sz="0" w:space="0" w:color="auto"/>
                      </w:divBdr>
                      <w:divsChild>
                        <w:div w:id="2072146566">
                          <w:marLeft w:val="0"/>
                          <w:marRight w:val="0"/>
                          <w:marTop w:val="120"/>
                          <w:marBottom w:val="0"/>
                          <w:divBdr>
                            <w:top w:val="none" w:sz="0" w:space="0" w:color="auto"/>
                            <w:left w:val="none" w:sz="0" w:space="0" w:color="auto"/>
                            <w:bottom w:val="none" w:sz="0" w:space="0" w:color="auto"/>
                            <w:right w:val="none" w:sz="0" w:space="0" w:color="auto"/>
                          </w:divBdr>
                        </w:div>
                        <w:div w:id="610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091">
              <w:marLeft w:val="0"/>
              <w:marRight w:val="0"/>
              <w:marTop w:val="0"/>
              <w:marBottom w:val="0"/>
              <w:divBdr>
                <w:top w:val="none" w:sz="0" w:space="0" w:color="auto"/>
                <w:left w:val="none" w:sz="0" w:space="0" w:color="auto"/>
                <w:bottom w:val="none" w:sz="0" w:space="0" w:color="auto"/>
                <w:right w:val="none" w:sz="0" w:space="0" w:color="auto"/>
              </w:divBdr>
              <w:divsChild>
                <w:div w:id="1860000069">
                  <w:marLeft w:val="0"/>
                  <w:marRight w:val="0"/>
                  <w:marTop w:val="120"/>
                  <w:marBottom w:val="0"/>
                  <w:divBdr>
                    <w:top w:val="none" w:sz="0" w:space="0" w:color="auto"/>
                    <w:left w:val="none" w:sz="0" w:space="0" w:color="auto"/>
                    <w:bottom w:val="none" w:sz="0" w:space="0" w:color="auto"/>
                    <w:right w:val="none" w:sz="0" w:space="0" w:color="auto"/>
                  </w:divBdr>
                </w:div>
                <w:div w:id="10925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34">
      <w:bodyDiv w:val="1"/>
      <w:marLeft w:val="0"/>
      <w:marRight w:val="0"/>
      <w:marTop w:val="0"/>
      <w:marBottom w:val="0"/>
      <w:divBdr>
        <w:top w:val="none" w:sz="0" w:space="0" w:color="auto"/>
        <w:left w:val="none" w:sz="0" w:space="0" w:color="auto"/>
        <w:bottom w:val="none" w:sz="0" w:space="0" w:color="auto"/>
        <w:right w:val="none" w:sz="0" w:space="0" w:color="auto"/>
      </w:divBdr>
      <w:divsChild>
        <w:div w:id="1928689088">
          <w:marLeft w:val="0"/>
          <w:marRight w:val="0"/>
          <w:marTop w:val="0"/>
          <w:marBottom w:val="0"/>
          <w:divBdr>
            <w:top w:val="none" w:sz="0" w:space="0" w:color="auto"/>
            <w:left w:val="none" w:sz="0" w:space="0" w:color="auto"/>
            <w:bottom w:val="none" w:sz="0" w:space="0" w:color="auto"/>
            <w:right w:val="none" w:sz="0" w:space="0" w:color="auto"/>
          </w:divBdr>
        </w:div>
      </w:divsChild>
    </w:div>
    <w:div w:id="1802992666">
      <w:bodyDiv w:val="1"/>
      <w:marLeft w:val="0"/>
      <w:marRight w:val="0"/>
      <w:marTop w:val="0"/>
      <w:marBottom w:val="0"/>
      <w:divBdr>
        <w:top w:val="none" w:sz="0" w:space="0" w:color="auto"/>
        <w:left w:val="none" w:sz="0" w:space="0" w:color="auto"/>
        <w:bottom w:val="none" w:sz="0" w:space="0" w:color="auto"/>
        <w:right w:val="none" w:sz="0" w:space="0" w:color="auto"/>
      </w:divBdr>
      <w:divsChild>
        <w:div w:id="1927302783">
          <w:marLeft w:val="0"/>
          <w:marRight w:val="0"/>
          <w:marTop w:val="0"/>
          <w:marBottom w:val="0"/>
          <w:divBdr>
            <w:top w:val="none" w:sz="0" w:space="0" w:color="auto"/>
            <w:left w:val="none" w:sz="0" w:space="0" w:color="auto"/>
            <w:bottom w:val="none" w:sz="0" w:space="0" w:color="auto"/>
            <w:right w:val="none" w:sz="0" w:space="0" w:color="auto"/>
          </w:divBdr>
          <w:divsChild>
            <w:div w:id="1254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7964">
      <w:bodyDiv w:val="1"/>
      <w:marLeft w:val="0"/>
      <w:marRight w:val="0"/>
      <w:marTop w:val="0"/>
      <w:marBottom w:val="0"/>
      <w:divBdr>
        <w:top w:val="none" w:sz="0" w:space="0" w:color="auto"/>
        <w:left w:val="none" w:sz="0" w:space="0" w:color="auto"/>
        <w:bottom w:val="none" w:sz="0" w:space="0" w:color="auto"/>
        <w:right w:val="none" w:sz="0" w:space="0" w:color="auto"/>
      </w:divBdr>
      <w:divsChild>
        <w:div w:id="1698503548">
          <w:marLeft w:val="0"/>
          <w:marRight w:val="0"/>
          <w:marTop w:val="0"/>
          <w:marBottom w:val="0"/>
          <w:divBdr>
            <w:top w:val="none" w:sz="0" w:space="0" w:color="auto"/>
            <w:left w:val="none" w:sz="0" w:space="0" w:color="auto"/>
            <w:bottom w:val="none" w:sz="0" w:space="0" w:color="auto"/>
            <w:right w:val="none" w:sz="0" w:space="0" w:color="auto"/>
          </w:divBdr>
        </w:div>
      </w:divsChild>
    </w:div>
    <w:div w:id="1871140636">
      <w:bodyDiv w:val="1"/>
      <w:marLeft w:val="0"/>
      <w:marRight w:val="0"/>
      <w:marTop w:val="0"/>
      <w:marBottom w:val="0"/>
      <w:divBdr>
        <w:top w:val="none" w:sz="0" w:space="0" w:color="auto"/>
        <w:left w:val="none" w:sz="0" w:space="0" w:color="auto"/>
        <w:bottom w:val="none" w:sz="0" w:space="0" w:color="auto"/>
        <w:right w:val="none" w:sz="0" w:space="0" w:color="auto"/>
      </w:divBdr>
      <w:divsChild>
        <w:div w:id="476991933">
          <w:marLeft w:val="0"/>
          <w:marRight w:val="0"/>
          <w:marTop w:val="0"/>
          <w:marBottom w:val="0"/>
          <w:divBdr>
            <w:top w:val="none" w:sz="0" w:space="0" w:color="auto"/>
            <w:left w:val="none" w:sz="0" w:space="0" w:color="auto"/>
            <w:bottom w:val="none" w:sz="0" w:space="0" w:color="auto"/>
            <w:right w:val="none" w:sz="0" w:space="0" w:color="auto"/>
          </w:divBdr>
        </w:div>
        <w:div w:id="1298993536">
          <w:marLeft w:val="0"/>
          <w:marRight w:val="0"/>
          <w:marTop w:val="0"/>
          <w:marBottom w:val="0"/>
          <w:divBdr>
            <w:top w:val="none" w:sz="0" w:space="0" w:color="auto"/>
            <w:left w:val="none" w:sz="0" w:space="0" w:color="auto"/>
            <w:bottom w:val="none" w:sz="0" w:space="0" w:color="auto"/>
            <w:right w:val="none" w:sz="0" w:space="0" w:color="auto"/>
          </w:divBdr>
          <w:divsChild>
            <w:div w:id="1633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4710">
      <w:bodyDiv w:val="1"/>
      <w:marLeft w:val="0"/>
      <w:marRight w:val="0"/>
      <w:marTop w:val="0"/>
      <w:marBottom w:val="0"/>
      <w:divBdr>
        <w:top w:val="none" w:sz="0" w:space="0" w:color="auto"/>
        <w:left w:val="none" w:sz="0" w:space="0" w:color="auto"/>
        <w:bottom w:val="none" w:sz="0" w:space="0" w:color="auto"/>
        <w:right w:val="none" w:sz="0" w:space="0" w:color="auto"/>
      </w:divBdr>
      <w:divsChild>
        <w:div w:id="244459092">
          <w:marLeft w:val="0"/>
          <w:marRight w:val="0"/>
          <w:marTop w:val="0"/>
          <w:marBottom w:val="0"/>
          <w:divBdr>
            <w:top w:val="none" w:sz="0" w:space="0" w:color="auto"/>
            <w:left w:val="none" w:sz="0" w:space="0" w:color="auto"/>
            <w:bottom w:val="none" w:sz="0" w:space="0" w:color="auto"/>
            <w:right w:val="none" w:sz="0" w:space="0" w:color="auto"/>
          </w:divBdr>
        </w:div>
      </w:divsChild>
    </w:div>
    <w:div w:id="1967587437">
      <w:bodyDiv w:val="1"/>
      <w:marLeft w:val="0"/>
      <w:marRight w:val="0"/>
      <w:marTop w:val="0"/>
      <w:marBottom w:val="0"/>
      <w:divBdr>
        <w:top w:val="none" w:sz="0" w:space="0" w:color="auto"/>
        <w:left w:val="none" w:sz="0" w:space="0" w:color="auto"/>
        <w:bottom w:val="none" w:sz="0" w:space="0" w:color="auto"/>
        <w:right w:val="none" w:sz="0" w:space="0" w:color="auto"/>
      </w:divBdr>
      <w:divsChild>
        <w:div w:id="88084126">
          <w:marLeft w:val="0"/>
          <w:marRight w:val="0"/>
          <w:marTop w:val="0"/>
          <w:marBottom w:val="0"/>
          <w:divBdr>
            <w:top w:val="none" w:sz="0" w:space="0" w:color="auto"/>
            <w:left w:val="none" w:sz="0" w:space="0" w:color="auto"/>
            <w:bottom w:val="none" w:sz="0" w:space="0" w:color="auto"/>
            <w:right w:val="none" w:sz="0" w:space="0" w:color="auto"/>
          </w:divBdr>
        </w:div>
        <w:div w:id="161430662">
          <w:marLeft w:val="0"/>
          <w:marRight w:val="0"/>
          <w:marTop w:val="0"/>
          <w:marBottom w:val="0"/>
          <w:divBdr>
            <w:top w:val="none" w:sz="0" w:space="0" w:color="auto"/>
            <w:left w:val="none" w:sz="0" w:space="0" w:color="auto"/>
            <w:bottom w:val="none" w:sz="0" w:space="0" w:color="auto"/>
            <w:right w:val="none" w:sz="0" w:space="0" w:color="auto"/>
          </w:divBdr>
          <w:divsChild>
            <w:div w:id="16124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4181">
      <w:bodyDiv w:val="1"/>
      <w:marLeft w:val="0"/>
      <w:marRight w:val="0"/>
      <w:marTop w:val="0"/>
      <w:marBottom w:val="0"/>
      <w:divBdr>
        <w:top w:val="none" w:sz="0" w:space="0" w:color="auto"/>
        <w:left w:val="none" w:sz="0" w:space="0" w:color="auto"/>
        <w:bottom w:val="none" w:sz="0" w:space="0" w:color="auto"/>
        <w:right w:val="none" w:sz="0" w:space="0" w:color="auto"/>
      </w:divBdr>
      <w:divsChild>
        <w:div w:id="232588932">
          <w:marLeft w:val="0"/>
          <w:marRight w:val="0"/>
          <w:marTop w:val="0"/>
          <w:marBottom w:val="0"/>
          <w:divBdr>
            <w:top w:val="none" w:sz="0" w:space="0" w:color="auto"/>
            <w:left w:val="none" w:sz="0" w:space="0" w:color="auto"/>
            <w:bottom w:val="none" w:sz="0" w:space="0" w:color="auto"/>
            <w:right w:val="none" w:sz="0" w:space="0" w:color="auto"/>
          </w:divBdr>
          <w:divsChild>
            <w:div w:id="1254629461">
              <w:marLeft w:val="0"/>
              <w:marRight w:val="0"/>
              <w:marTop w:val="0"/>
              <w:marBottom w:val="0"/>
              <w:divBdr>
                <w:top w:val="none" w:sz="0" w:space="0" w:color="auto"/>
                <w:left w:val="none" w:sz="0" w:space="0" w:color="auto"/>
                <w:bottom w:val="none" w:sz="0" w:space="0" w:color="auto"/>
                <w:right w:val="none" w:sz="0" w:space="0" w:color="auto"/>
              </w:divBdr>
              <w:divsChild>
                <w:div w:id="472211247">
                  <w:marLeft w:val="0"/>
                  <w:marRight w:val="0"/>
                  <w:marTop w:val="120"/>
                  <w:marBottom w:val="0"/>
                  <w:divBdr>
                    <w:top w:val="none" w:sz="0" w:space="0" w:color="auto"/>
                    <w:left w:val="none" w:sz="0" w:space="0" w:color="auto"/>
                    <w:bottom w:val="none" w:sz="0" w:space="0" w:color="auto"/>
                    <w:right w:val="none" w:sz="0" w:space="0" w:color="auto"/>
                  </w:divBdr>
                </w:div>
                <w:div w:id="601449467">
                  <w:marLeft w:val="0"/>
                  <w:marRight w:val="0"/>
                  <w:marTop w:val="0"/>
                  <w:marBottom w:val="0"/>
                  <w:divBdr>
                    <w:top w:val="none" w:sz="0" w:space="0" w:color="auto"/>
                    <w:left w:val="none" w:sz="0" w:space="0" w:color="auto"/>
                    <w:bottom w:val="none" w:sz="0" w:space="0" w:color="auto"/>
                    <w:right w:val="none" w:sz="0" w:space="0" w:color="auto"/>
                  </w:divBdr>
                </w:div>
              </w:divsChild>
            </w:div>
            <w:div w:id="836770085">
              <w:marLeft w:val="0"/>
              <w:marRight w:val="0"/>
              <w:marTop w:val="0"/>
              <w:marBottom w:val="0"/>
              <w:divBdr>
                <w:top w:val="none" w:sz="0" w:space="0" w:color="auto"/>
                <w:left w:val="none" w:sz="0" w:space="0" w:color="auto"/>
                <w:bottom w:val="none" w:sz="0" w:space="0" w:color="auto"/>
                <w:right w:val="none" w:sz="0" w:space="0" w:color="auto"/>
              </w:divBdr>
              <w:divsChild>
                <w:div w:id="1755392391">
                  <w:marLeft w:val="0"/>
                  <w:marRight w:val="0"/>
                  <w:marTop w:val="120"/>
                  <w:marBottom w:val="0"/>
                  <w:divBdr>
                    <w:top w:val="none" w:sz="0" w:space="0" w:color="auto"/>
                    <w:left w:val="none" w:sz="0" w:space="0" w:color="auto"/>
                    <w:bottom w:val="none" w:sz="0" w:space="0" w:color="auto"/>
                    <w:right w:val="none" w:sz="0" w:space="0" w:color="auto"/>
                  </w:divBdr>
                </w:div>
                <w:div w:id="992949243">
                  <w:marLeft w:val="0"/>
                  <w:marRight w:val="0"/>
                  <w:marTop w:val="0"/>
                  <w:marBottom w:val="0"/>
                  <w:divBdr>
                    <w:top w:val="none" w:sz="0" w:space="0" w:color="auto"/>
                    <w:left w:val="none" w:sz="0" w:space="0" w:color="auto"/>
                    <w:bottom w:val="none" w:sz="0" w:space="0" w:color="auto"/>
                    <w:right w:val="none" w:sz="0" w:space="0" w:color="auto"/>
                  </w:divBdr>
                </w:div>
              </w:divsChild>
            </w:div>
            <w:div w:id="1718629797">
              <w:marLeft w:val="0"/>
              <w:marRight w:val="0"/>
              <w:marTop w:val="0"/>
              <w:marBottom w:val="0"/>
              <w:divBdr>
                <w:top w:val="none" w:sz="0" w:space="0" w:color="auto"/>
                <w:left w:val="none" w:sz="0" w:space="0" w:color="auto"/>
                <w:bottom w:val="none" w:sz="0" w:space="0" w:color="auto"/>
                <w:right w:val="none" w:sz="0" w:space="0" w:color="auto"/>
              </w:divBdr>
              <w:divsChild>
                <w:div w:id="975448276">
                  <w:marLeft w:val="0"/>
                  <w:marRight w:val="0"/>
                  <w:marTop w:val="120"/>
                  <w:marBottom w:val="0"/>
                  <w:divBdr>
                    <w:top w:val="none" w:sz="0" w:space="0" w:color="auto"/>
                    <w:left w:val="none" w:sz="0" w:space="0" w:color="auto"/>
                    <w:bottom w:val="none" w:sz="0" w:space="0" w:color="auto"/>
                    <w:right w:val="none" w:sz="0" w:space="0" w:color="auto"/>
                  </w:divBdr>
                </w:div>
                <w:div w:id="13668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7636">
      <w:bodyDiv w:val="1"/>
      <w:marLeft w:val="0"/>
      <w:marRight w:val="0"/>
      <w:marTop w:val="0"/>
      <w:marBottom w:val="0"/>
      <w:divBdr>
        <w:top w:val="none" w:sz="0" w:space="0" w:color="auto"/>
        <w:left w:val="none" w:sz="0" w:space="0" w:color="auto"/>
        <w:bottom w:val="none" w:sz="0" w:space="0" w:color="auto"/>
        <w:right w:val="none" w:sz="0" w:space="0" w:color="auto"/>
      </w:divBdr>
      <w:divsChild>
        <w:div w:id="736974477">
          <w:marLeft w:val="0"/>
          <w:marRight w:val="0"/>
          <w:marTop w:val="0"/>
          <w:marBottom w:val="0"/>
          <w:divBdr>
            <w:top w:val="none" w:sz="0" w:space="0" w:color="auto"/>
            <w:left w:val="none" w:sz="0" w:space="0" w:color="auto"/>
            <w:bottom w:val="none" w:sz="0" w:space="0" w:color="auto"/>
            <w:right w:val="none" w:sz="0" w:space="0" w:color="auto"/>
          </w:divBdr>
        </w:div>
      </w:divsChild>
    </w:div>
    <w:div w:id="2049068831">
      <w:bodyDiv w:val="1"/>
      <w:marLeft w:val="0"/>
      <w:marRight w:val="0"/>
      <w:marTop w:val="0"/>
      <w:marBottom w:val="0"/>
      <w:divBdr>
        <w:top w:val="none" w:sz="0" w:space="0" w:color="auto"/>
        <w:left w:val="none" w:sz="0" w:space="0" w:color="auto"/>
        <w:bottom w:val="none" w:sz="0" w:space="0" w:color="auto"/>
        <w:right w:val="none" w:sz="0" w:space="0" w:color="auto"/>
      </w:divBdr>
    </w:div>
    <w:div w:id="2055080123">
      <w:bodyDiv w:val="1"/>
      <w:marLeft w:val="0"/>
      <w:marRight w:val="0"/>
      <w:marTop w:val="0"/>
      <w:marBottom w:val="0"/>
      <w:divBdr>
        <w:top w:val="none" w:sz="0" w:space="0" w:color="auto"/>
        <w:left w:val="none" w:sz="0" w:space="0" w:color="auto"/>
        <w:bottom w:val="none" w:sz="0" w:space="0" w:color="auto"/>
        <w:right w:val="none" w:sz="0" w:space="0" w:color="auto"/>
      </w:divBdr>
      <w:divsChild>
        <w:div w:id="1903708925">
          <w:marLeft w:val="0"/>
          <w:marRight w:val="0"/>
          <w:marTop w:val="0"/>
          <w:marBottom w:val="0"/>
          <w:divBdr>
            <w:top w:val="none" w:sz="0" w:space="0" w:color="auto"/>
            <w:left w:val="none" w:sz="0" w:space="0" w:color="auto"/>
            <w:bottom w:val="none" w:sz="0" w:space="0" w:color="auto"/>
            <w:right w:val="none" w:sz="0" w:space="0" w:color="auto"/>
          </w:divBdr>
        </w:div>
      </w:divsChild>
    </w:div>
    <w:div w:id="2072727999">
      <w:bodyDiv w:val="1"/>
      <w:marLeft w:val="0"/>
      <w:marRight w:val="0"/>
      <w:marTop w:val="0"/>
      <w:marBottom w:val="0"/>
      <w:divBdr>
        <w:top w:val="none" w:sz="0" w:space="0" w:color="auto"/>
        <w:left w:val="none" w:sz="0" w:space="0" w:color="auto"/>
        <w:bottom w:val="none" w:sz="0" w:space="0" w:color="auto"/>
        <w:right w:val="none" w:sz="0" w:space="0" w:color="auto"/>
      </w:divBdr>
      <w:divsChild>
        <w:div w:id="356659296">
          <w:marLeft w:val="0"/>
          <w:marRight w:val="0"/>
          <w:marTop w:val="0"/>
          <w:marBottom w:val="0"/>
          <w:divBdr>
            <w:top w:val="none" w:sz="0" w:space="0" w:color="auto"/>
            <w:left w:val="none" w:sz="0" w:space="0" w:color="auto"/>
            <w:bottom w:val="none" w:sz="0" w:space="0" w:color="auto"/>
            <w:right w:val="none" w:sz="0" w:space="0" w:color="auto"/>
          </w:divBdr>
          <w:divsChild>
            <w:div w:id="1033728876">
              <w:marLeft w:val="0"/>
              <w:marRight w:val="0"/>
              <w:marTop w:val="0"/>
              <w:marBottom w:val="0"/>
              <w:divBdr>
                <w:top w:val="none" w:sz="0" w:space="0" w:color="auto"/>
                <w:left w:val="none" w:sz="0" w:space="0" w:color="auto"/>
                <w:bottom w:val="none" w:sz="0" w:space="0" w:color="auto"/>
                <w:right w:val="none" w:sz="0" w:space="0" w:color="auto"/>
              </w:divBdr>
              <w:divsChild>
                <w:div w:id="380205825">
                  <w:marLeft w:val="0"/>
                  <w:marRight w:val="0"/>
                  <w:marTop w:val="120"/>
                  <w:marBottom w:val="0"/>
                  <w:divBdr>
                    <w:top w:val="none" w:sz="0" w:space="0" w:color="auto"/>
                    <w:left w:val="none" w:sz="0" w:space="0" w:color="auto"/>
                    <w:bottom w:val="none" w:sz="0" w:space="0" w:color="auto"/>
                    <w:right w:val="none" w:sz="0" w:space="0" w:color="auto"/>
                  </w:divBdr>
                </w:div>
                <w:div w:id="2087144628">
                  <w:marLeft w:val="0"/>
                  <w:marRight w:val="0"/>
                  <w:marTop w:val="0"/>
                  <w:marBottom w:val="0"/>
                  <w:divBdr>
                    <w:top w:val="none" w:sz="0" w:space="0" w:color="auto"/>
                    <w:left w:val="none" w:sz="0" w:space="0" w:color="auto"/>
                    <w:bottom w:val="none" w:sz="0" w:space="0" w:color="auto"/>
                    <w:right w:val="none" w:sz="0" w:space="0" w:color="auto"/>
                  </w:divBdr>
                </w:div>
              </w:divsChild>
            </w:div>
            <w:div w:id="1918976225">
              <w:marLeft w:val="0"/>
              <w:marRight w:val="0"/>
              <w:marTop w:val="0"/>
              <w:marBottom w:val="0"/>
              <w:divBdr>
                <w:top w:val="none" w:sz="0" w:space="0" w:color="auto"/>
                <w:left w:val="none" w:sz="0" w:space="0" w:color="auto"/>
                <w:bottom w:val="none" w:sz="0" w:space="0" w:color="auto"/>
                <w:right w:val="none" w:sz="0" w:space="0" w:color="auto"/>
              </w:divBdr>
              <w:divsChild>
                <w:div w:id="284777739">
                  <w:marLeft w:val="0"/>
                  <w:marRight w:val="0"/>
                  <w:marTop w:val="120"/>
                  <w:marBottom w:val="0"/>
                  <w:divBdr>
                    <w:top w:val="none" w:sz="0" w:space="0" w:color="auto"/>
                    <w:left w:val="none" w:sz="0" w:space="0" w:color="auto"/>
                    <w:bottom w:val="none" w:sz="0" w:space="0" w:color="auto"/>
                    <w:right w:val="none" w:sz="0" w:space="0" w:color="auto"/>
                  </w:divBdr>
                </w:div>
                <w:div w:id="286939308">
                  <w:marLeft w:val="0"/>
                  <w:marRight w:val="0"/>
                  <w:marTop w:val="0"/>
                  <w:marBottom w:val="0"/>
                  <w:divBdr>
                    <w:top w:val="none" w:sz="0" w:space="0" w:color="auto"/>
                    <w:left w:val="none" w:sz="0" w:space="0" w:color="auto"/>
                    <w:bottom w:val="none" w:sz="0" w:space="0" w:color="auto"/>
                    <w:right w:val="none" w:sz="0" w:space="0" w:color="auto"/>
                  </w:divBdr>
                </w:div>
              </w:divsChild>
            </w:div>
            <w:div w:id="1964385250">
              <w:marLeft w:val="0"/>
              <w:marRight w:val="0"/>
              <w:marTop w:val="0"/>
              <w:marBottom w:val="0"/>
              <w:divBdr>
                <w:top w:val="none" w:sz="0" w:space="0" w:color="auto"/>
                <w:left w:val="none" w:sz="0" w:space="0" w:color="auto"/>
                <w:bottom w:val="none" w:sz="0" w:space="0" w:color="auto"/>
                <w:right w:val="none" w:sz="0" w:space="0" w:color="auto"/>
              </w:divBdr>
              <w:divsChild>
                <w:div w:id="239022921">
                  <w:marLeft w:val="0"/>
                  <w:marRight w:val="0"/>
                  <w:marTop w:val="120"/>
                  <w:marBottom w:val="0"/>
                  <w:divBdr>
                    <w:top w:val="none" w:sz="0" w:space="0" w:color="auto"/>
                    <w:left w:val="none" w:sz="0" w:space="0" w:color="auto"/>
                    <w:bottom w:val="none" w:sz="0" w:space="0" w:color="auto"/>
                    <w:right w:val="none" w:sz="0" w:space="0" w:color="auto"/>
                  </w:divBdr>
                </w:div>
                <w:div w:id="2007322886">
                  <w:marLeft w:val="0"/>
                  <w:marRight w:val="0"/>
                  <w:marTop w:val="0"/>
                  <w:marBottom w:val="0"/>
                  <w:divBdr>
                    <w:top w:val="none" w:sz="0" w:space="0" w:color="auto"/>
                    <w:left w:val="none" w:sz="0" w:space="0" w:color="auto"/>
                    <w:bottom w:val="none" w:sz="0" w:space="0" w:color="auto"/>
                    <w:right w:val="none" w:sz="0" w:space="0" w:color="auto"/>
                  </w:divBdr>
                  <w:divsChild>
                    <w:div w:id="1964001252">
                      <w:marLeft w:val="0"/>
                      <w:marRight w:val="0"/>
                      <w:marTop w:val="0"/>
                      <w:marBottom w:val="0"/>
                      <w:divBdr>
                        <w:top w:val="none" w:sz="0" w:space="0" w:color="auto"/>
                        <w:left w:val="none" w:sz="0" w:space="0" w:color="auto"/>
                        <w:bottom w:val="none" w:sz="0" w:space="0" w:color="auto"/>
                        <w:right w:val="none" w:sz="0" w:space="0" w:color="auto"/>
                      </w:divBdr>
                      <w:divsChild>
                        <w:div w:id="95946100">
                          <w:marLeft w:val="0"/>
                          <w:marRight w:val="0"/>
                          <w:marTop w:val="120"/>
                          <w:marBottom w:val="0"/>
                          <w:divBdr>
                            <w:top w:val="none" w:sz="0" w:space="0" w:color="auto"/>
                            <w:left w:val="none" w:sz="0" w:space="0" w:color="auto"/>
                            <w:bottom w:val="none" w:sz="0" w:space="0" w:color="auto"/>
                            <w:right w:val="none" w:sz="0" w:space="0" w:color="auto"/>
                          </w:divBdr>
                        </w:div>
                        <w:div w:id="727730030">
                          <w:marLeft w:val="0"/>
                          <w:marRight w:val="0"/>
                          <w:marTop w:val="0"/>
                          <w:marBottom w:val="0"/>
                          <w:divBdr>
                            <w:top w:val="none" w:sz="0" w:space="0" w:color="auto"/>
                            <w:left w:val="none" w:sz="0" w:space="0" w:color="auto"/>
                            <w:bottom w:val="none" w:sz="0" w:space="0" w:color="auto"/>
                            <w:right w:val="none" w:sz="0" w:space="0" w:color="auto"/>
                          </w:divBdr>
                        </w:div>
                      </w:divsChild>
                    </w:div>
                    <w:div w:id="1387142880">
                      <w:marLeft w:val="0"/>
                      <w:marRight w:val="0"/>
                      <w:marTop w:val="0"/>
                      <w:marBottom w:val="0"/>
                      <w:divBdr>
                        <w:top w:val="none" w:sz="0" w:space="0" w:color="auto"/>
                        <w:left w:val="none" w:sz="0" w:space="0" w:color="auto"/>
                        <w:bottom w:val="none" w:sz="0" w:space="0" w:color="auto"/>
                        <w:right w:val="none" w:sz="0" w:space="0" w:color="auto"/>
                      </w:divBdr>
                      <w:divsChild>
                        <w:div w:id="626206800">
                          <w:marLeft w:val="0"/>
                          <w:marRight w:val="0"/>
                          <w:marTop w:val="120"/>
                          <w:marBottom w:val="0"/>
                          <w:divBdr>
                            <w:top w:val="none" w:sz="0" w:space="0" w:color="auto"/>
                            <w:left w:val="none" w:sz="0" w:space="0" w:color="auto"/>
                            <w:bottom w:val="none" w:sz="0" w:space="0" w:color="auto"/>
                            <w:right w:val="none" w:sz="0" w:space="0" w:color="auto"/>
                          </w:divBdr>
                        </w:div>
                        <w:div w:id="711802750">
                          <w:marLeft w:val="0"/>
                          <w:marRight w:val="0"/>
                          <w:marTop w:val="0"/>
                          <w:marBottom w:val="0"/>
                          <w:divBdr>
                            <w:top w:val="none" w:sz="0" w:space="0" w:color="auto"/>
                            <w:left w:val="none" w:sz="0" w:space="0" w:color="auto"/>
                            <w:bottom w:val="none" w:sz="0" w:space="0" w:color="auto"/>
                            <w:right w:val="none" w:sz="0" w:space="0" w:color="auto"/>
                          </w:divBdr>
                        </w:div>
                      </w:divsChild>
                    </w:div>
                    <w:div w:id="1268848641">
                      <w:marLeft w:val="0"/>
                      <w:marRight w:val="0"/>
                      <w:marTop w:val="0"/>
                      <w:marBottom w:val="0"/>
                      <w:divBdr>
                        <w:top w:val="none" w:sz="0" w:space="0" w:color="auto"/>
                        <w:left w:val="none" w:sz="0" w:space="0" w:color="auto"/>
                        <w:bottom w:val="none" w:sz="0" w:space="0" w:color="auto"/>
                        <w:right w:val="none" w:sz="0" w:space="0" w:color="auto"/>
                      </w:divBdr>
                      <w:divsChild>
                        <w:div w:id="212473971">
                          <w:marLeft w:val="0"/>
                          <w:marRight w:val="0"/>
                          <w:marTop w:val="120"/>
                          <w:marBottom w:val="0"/>
                          <w:divBdr>
                            <w:top w:val="none" w:sz="0" w:space="0" w:color="auto"/>
                            <w:left w:val="none" w:sz="0" w:space="0" w:color="auto"/>
                            <w:bottom w:val="none" w:sz="0" w:space="0" w:color="auto"/>
                            <w:right w:val="none" w:sz="0" w:space="0" w:color="auto"/>
                          </w:divBdr>
                        </w:div>
                        <w:div w:id="2024552013">
                          <w:marLeft w:val="0"/>
                          <w:marRight w:val="0"/>
                          <w:marTop w:val="0"/>
                          <w:marBottom w:val="0"/>
                          <w:divBdr>
                            <w:top w:val="none" w:sz="0" w:space="0" w:color="auto"/>
                            <w:left w:val="none" w:sz="0" w:space="0" w:color="auto"/>
                            <w:bottom w:val="none" w:sz="0" w:space="0" w:color="auto"/>
                            <w:right w:val="none" w:sz="0" w:space="0" w:color="auto"/>
                          </w:divBdr>
                        </w:div>
                      </w:divsChild>
                    </w:div>
                    <w:div w:id="953754583">
                      <w:marLeft w:val="0"/>
                      <w:marRight w:val="0"/>
                      <w:marTop w:val="0"/>
                      <w:marBottom w:val="0"/>
                      <w:divBdr>
                        <w:top w:val="none" w:sz="0" w:space="0" w:color="auto"/>
                        <w:left w:val="none" w:sz="0" w:space="0" w:color="auto"/>
                        <w:bottom w:val="none" w:sz="0" w:space="0" w:color="auto"/>
                        <w:right w:val="none" w:sz="0" w:space="0" w:color="auto"/>
                      </w:divBdr>
                      <w:divsChild>
                        <w:div w:id="1985156867">
                          <w:marLeft w:val="0"/>
                          <w:marRight w:val="0"/>
                          <w:marTop w:val="120"/>
                          <w:marBottom w:val="0"/>
                          <w:divBdr>
                            <w:top w:val="none" w:sz="0" w:space="0" w:color="auto"/>
                            <w:left w:val="none" w:sz="0" w:space="0" w:color="auto"/>
                            <w:bottom w:val="none" w:sz="0" w:space="0" w:color="auto"/>
                            <w:right w:val="none" w:sz="0" w:space="0" w:color="auto"/>
                          </w:divBdr>
                        </w:div>
                        <w:div w:id="14834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09437">
      <w:bodyDiv w:val="1"/>
      <w:marLeft w:val="0"/>
      <w:marRight w:val="0"/>
      <w:marTop w:val="0"/>
      <w:marBottom w:val="0"/>
      <w:divBdr>
        <w:top w:val="none" w:sz="0" w:space="0" w:color="auto"/>
        <w:left w:val="none" w:sz="0" w:space="0" w:color="auto"/>
        <w:bottom w:val="none" w:sz="0" w:space="0" w:color="auto"/>
        <w:right w:val="none" w:sz="0" w:space="0" w:color="auto"/>
      </w:divBdr>
      <w:divsChild>
        <w:div w:id="912618194">
          <w:marLeft w:val="0"/>
          <w:marRight w:val="0"/>
          <w:marTop w:val="0"/>
          <w:marBottom w:val="0"/>
          <w:divBdr>
            <w:top w:val="none" w:sz="0" w:space="0" w:color="auto"/>
            <w:left w:val="none" w:sz="0" w:space="0" w:color="auto"/>
            <w:bottom w:val="none" w:sz="0" w:space="0" w:color="auto"/>
            <w:right w:val="none" w:sz="0" w:space="0" w:color="auto"/>
          </w:divBdr>
          <w:divsChild>
            <w:div w:id="1541282723">
              <w:marLeft w:val="0"/>
              <w:marRight w:val="0"/>
              <w:marTop w:val="0"/>
              <w:marBottom w:val="0"/>
              <w:divBdr>
                <w:top w:val="none" w:sz="0" w:space="0" w:color="auto"/>
                <w:left w:val="none" w:sz="0" w:space="0" w:color="auto"/>
                <w:bottom w:val="none" w:sz="0" w:space="0" w:color="auto"/>
                <w:right w:val="none" w:sz="0" w:space="0" w:color="auto"/>
              </w:divBdr>
              <w:divsChild>
                <w:div w:id="1579948919">
                  <w:marLeft w:val="0"/>
                  <w:marRight w:val="0"/>
                  <w:marTop w:val="120"/>
                  <w:marBottom w:val="0"/>
                  <w:divBdr>
                    <w:top w:val="none" w:sz="0" w:space="0" w:color="auto"/>
                    <w:left w:val="none" w:sz="0" w:space="0" w:color="auto"/>
                    <w:bottom w:val="none" w:sz="0" w:space="0" w:color="auto"/>
                    <w:right w:val="none" w:sz="0" w:space="0" w:color="auto"/>
                  </w:divBdr>
                </w:div>
                <w:div w:id="929972134">
                  <w:marLeft w:val="0"/>
                  <w:marRight w:val="0"/>
                  <w:marTop w:val="0"/>
                  <w:marBottom w:val="0"/>
                  <w:divBdr>
                    <w:top w:val="none" w:sz="0" w:space="0" w:color="auto"/>
                    <w:left w:val="none" w:sz="0" w:space="0" w:color="auto"/>
                    <w:bottom w:val="none" w:sz="0" w:space="0" w:color="auto"/>
                    <w:right w:val="none" w:sz="0" w:space="0" w:color="auto"/>
                  </w:divBdr>
                </w:div>
              </w:divsChild>
            </w:div>
            <w:div w:id="982974937">
              <w:marLeft w:val="0"/>
              <w:marRight w:val="0"/>
              <w:marTop w:val="0"/>
              <w:marBottom w:val="0"/>
              <w:divBdr>
                <w:top w:val="none" w:sz="0" w:space="0" w:color="auto"/>
                <w:left w:val="none" w:sz="0" w:space="0" w:color="auto"/>
                <w:bottom w:val="none" w:sz="0" w:space="0" w:color="auto"/>
                <w:right w:val="none" w:sz="0" w:space="0" w:color="auto"/>
              </w:divBdr>
              <w:divsChild>
                <w:div w:id="1415855513">
                  <w:marLeft w:val="0"/>
                  <w:marRight w:val="0"/>
                  <w:marTop w:val="120"/>
                  <w:marBottom w:val="0"/>
                  <w:divBdr>
                    <w:top w:val="none" w:sz="0" w:space="0" w:color="auto"/>
                    <w:left w:val="none" w:sz="0" w:space="0" w:color="auto"/>
                    <w:bottom w:val="none" w:sz="0" w:space="0" w:color="auto"/>
                    <w:right w:val="none" w:sz="0" w:space="0" w:color="auto"/>
                  </w:divBdr>
                </w:div>
                <w:div w:id="852569506">
                  <w:marLeft w:val="0"/>
                  <w:marRight w:val="0"/>
                  <w:marTop w:val="0"/>
                  <w:marBottom w:val="0"/>
                  <w:divBdr>
                    <w:top w:val="none" w:sz="0" w:space="0" w:color="auto"/>
                    <w:left w:val="none" w:sz="0" w:space="0" w:color="auto"/>
                    <w:bottom w:val="none" w:sz="0" w:space="0" w:color="auto"/>
                    <w:right w:val="none" w:sz="0" w:space="0" w:color="auto"/>
                  </w:divBdr>
                </w:div>
              </w:divsChild>
            </w:div>
            <w:div w:id="1989241351">
              <w:marLeft w:val="0"/>
              <w:marRight w:val="0"/>
              <w:marTop w:val="0"/>
              <w:marBottom w:val="0"/>
              <w:divBdr>
                <w:top w:val="none" w:sz="0" w:space="0" w:color="auto"/>
                <w:left w:val="none" w:sz="0" w:space="0" w:color="auto"/>
                <w:bottom w:val="none" w:sz="0" w:space="0" w:color="auto"/>
                <w:right w:val="none" w:sz="0" w:space="0" w:color="auto"/>
              </w:divBdr>
              <w:divsChild>
                <w:div w:id="1760905234">
                  <w:marLeft w:val="0"/>
                  <w:marRight w:val="0"/>
                  <w:marTop w:val="120"/>
                  <w:marBottom w:val="0"/>
                  <w:divBdr>
                    <w:top w:val="none" w:sz="0" w:space="0" w:color="auto"/>
                    <w:left w:val="none" w:sz="0" w:space="0" w:color="auto"/>
                    <w:bottom w:val="none" w:sz="0" w:space="0" w:color="auto"/>
                    <w:right w:val="none" w:sz="0" w:space="0" w:color="auto"/>
                  </w:divBdr>
                </w:div>
                <w:div w:id="17924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eur-lex.europa.eu/legal-content/RO/TXT/HTML/?uri=CELEX:02013R0575-20250101&amp;qid=1741938617753"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c4961903-d203-4698-9704-8ab08d75c404</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5DBD7FF4-458C-4784-AE03-E270EEAE20E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42</Pages>
  <Words>12559</Words>
  <Characters>72846</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2025-10-08T13:12:00Z</dcterms:created>
  <dcterms:modified xsi:type="dcterms:W3CDTF">2025-10-13T10:25:00Z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c4961903-d203-4698-9704-8ab08d75c404</vt:lpwstr>
  </property>
  <property fmtid="{D5CDD505-2E9C-101B-9397-08002B2CF9AE}" pid="3" name="Clasificare">
    <vt:lpwstr>SP-2</vt:lpwstr>
  </property>
  <property fmtid="{D5CDD505-2E9C-101B-9397-08002B2CF9AE}" pid="4" name="ClassificationContentMarkingHeaderShapeIds">
    <vt:lpwstr>5,6,7</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a,b,c</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2025-01-20T16:14:29Z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d271127c-245f-436f-914f-e6f1dfd637fa</vt:lpwstr>
  </property>
  <property fmtid="{D5CDD505-2E9C-101B-9397-08002B2CF9AE}" pid="16" name="MSIP_Label_70108aff-3426-4749-9d04-de3a5077dcce_ContentBits">
    <vt:lpwstr>3</vt:lpwstr>
  </property>
</Properties>
</file>